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4A0"/>
      </w:tblPr>
      <w:tblGrid>
        <w:gridCol w:w="816"/>
        <w:gridCol w:w="12"/>
        <w:gridCol w:w="5040"/>
        <w:gridCol w:w="3060"/>
      </w:tblGrid>
      <w:tr w:rsidR="00A144F9" w:rsidRPr="00C0677D" w:rsidTr="005873FA">
        <w:trPr>
          <w:trHeight w:val="315"/>
        </w:trPr>
        <w:tc>
          <w:tcPr>
            <w:tcW w:w="8928" w:type="dxa"/>
            <w:gridSpan w:val="4"/>
            <w:tcBorders>
              <w:top w:val="nil"/>
              <w:left w:val="nil"/>
              <w:bottom w:val="nil"/>
              <w:right w:val="nil"/>
            </w:tcBorders>
            <w:shd w:val="clear" w:color="auto" w:fill="auto"/>
            <w:hideMark/>
          </w:tcPr>
          <w:p w:rsidR="00A144F9" w:rsidRPr="00C0677D" w:rsidRDefault="00A144F9" w:rsidP="005873FA">
            <w:pPr>
              <w:tabs>
                <w:tab w:val="left" w:pos="2280"/>
                <w:tab w:val="left" w:pos="3360"/>
              </w:tabs>
              <w:spacing w:after="0" w:line="240" w:lineRule="auto"/>
              <w:jc w:val="center"/>
              <w:rPr>
                <w:rFonts w:ascii="Arial Narrow" w:hAnsi="Arial Narrow" w:cs="Arial"/>
                <w:b/>
                <w:color w:val="FF0000"/>
                <w:sz w:val="24"/>
              </w:rPr>
            </w:pPr>
            <w:r w:rsidRPr="00C0677D">
              <w:rPr>
                <w:rFonts w:ascii="Arial Narrow" w:hAnsi="Arial Narrow" w:cs="Arial"/>
                <w:b/>
                <w:sz w:val="24"/>
              </w:rPr>
              <w:t>TATA MEMORIAL HOSPITAL</w:t>
            </w:r>
          </w:p>
        </w:tc>
      </w:tr>
      <w:tr w:rsidR="00A144F9" w:rsidRPr="00C0677D" w:rsidTr="005873FA">
        <w:trPr>
          <w:trHeight w:val="315"/>
        </w:trPr>
        <w:tc>
          <w:tcPr>
            <w:tcW w:w="8928" w:type="dxa"/>
            <w:gridSpan w:val="4"/>
            <w:tcBorders>
              <w:top w:val="nil"/>
              <w:left w:val="nil"/>
              <w:bottom w:val="nil"/>
              <w:right w:val="nil"/>
            </w:tcBorders>
            <w:shd w:val="clear" w:color="auto" w:fill="auto"/>
            <w:hideMark/>
          </w:tcPr>
          <w:p w:rsidR="00A144F9" w:rsidRPr="00C0677D" w:rsidRDefault="00A144F9" w:rsidP="005873FA">
            <w:pPr>
              <w:tabs>
                <w:tab w:val="left" w:pos="2280"/>
                <w:tab w:val="left" w:pos="3360"/>
              </w:tabs>
              <w:spacing w:after="0" w:line="240" w:lineRule="auto"/>
              <w:jc w:val="center"/>
              <w:outlineLvl w:val="0"/>
              <w:rPr>
                <w:rFonts w:ascii="Arial Narrow" w:hAnsi="Arial Narrow" w:cs="Arial"/>
                <w:b/>
                <w:sz w:val="24"/>
              </w:rPr>
            </w:pPr>
            <w:r>
              <w:rPr>
                <w:rFonts w:ascii="Arial Narrow" w:hAnsi="Arial Narrow" w:cs="Arial"/>
                <w:b/>
                <w:sz w:val="24"/>
              </w:rPr>
              <w:t>[MAINTENANCE &amp; VERIFICATION CELL</w:t>
            </w:r>
            <w:r w:rsidRPr="00C0677D">
              <w:rPr>
                <w:rFonts w:ascii="Arial Narrow" w:hAnsi="Arial Narrow" w:cs="Arial"/>
                <w:b/>
                <w:sz w:val="24"/>
              </w:rPr>
              <w:t>]</w:t>
            </w:r>
          </w:p>
        </w:tc>
      </w:tr>
      <w:tr w:rsidR="00A144F9" w:rsidRPr="00C0677D" w:rsidTr="005873FA">
        <w:trPr>
          <w:trHeight w:val="315"/>
        </w:trPr>
        <w:tc>
          <w:tcPr>
            <w:tcW w:w="8928" w:type="dxa"/>
            <w:gridSpan w:val="4"/>
            <w:tcBorders>
              <w:top w:val="nil"/>
              <w:left w:val="nil"/>
              <w:bottom w:val="nil"/>
              <w:right w:val="nil"/>
            </w:tcBorders>
            <w:shd w:val="clear" w:color="auto" w:fill="auto"/>
            <w:hideMark/>
          </w:tcPr>
          <w:p w:rsidR="00A144F9" w:rsidRPr="00C0677D" w:rsidRDefault="00A144F9" w:rsidP="005873FA">
            <w:pPr>
              <w:tabs>
                <w:tab w:val="left" w:pos="2280"/>
                <w:tab w:val="left" w:pos="3360"/>
              </w:tabs>
              <w:spacing w:after="0" w:line="240" w:lineRule="auto"/>
              <w:jc w:val="center"/>
              <w:outlineLvl w:val="0"/>
              <w:rPr>
                <w:rFonts w:ascii="Arial Narrow" w:hAnsi="Arial Narrow" w:cs="Arial"/>
                <w:b/>
                <w:sz w:val="24"/>
              </w:rPr>
            </w:pPr>
            <w:r w:rsidRPr="00C0677D">
              <w:rPr>
                <w:rFonts w:ascii="Arial Narrow" w:hAnsi="Arial Narrow" w:cs="Arial"/>
                <w:b/>
                <w:sz w:val="24"/>
              </w:rPr>
              <w:t>DR. E. BORGES MARG. PAREL, MUMBAI - 400 012</w:t>
            </w:r>
          </w:p>
        </w:tc>
      </w:tr>
      <w:tr w:rsidR="00A144F9" w:rsidRPr="00363F03" w:rsidTr="005873FA">
        <w:trPr>
          <w:trHeight w:val="825"/>
        </w:trPr>
        <w:tc>
          <w:tcPr>
            <w:tcW w:w="816" w:type="dxa"/>
            <w:tcBorders>
              <w:top w:val="nil"/>
              <w:left w:val="nil"/>
              <w:bottom w:val="nil"/>
              <w:right w:val="nil"/>
            </w:tcBorders>
            <w:shd w:val="clear" w:color="auto" w:fill="auto"/>
            <w:hideMark/>
          </w:tcPr>
          <w:p w:rsidR="00A144F9" w:rsidRPr="00363F03" w:rsidRDefault="00A144F9" w:rsidP="005873FA">
            <w:pPr>
              <w:spacing w:after="0" w:line="240" w:lineRule="auto"/>
              <w:jc w:val="center"/>
              <w:rPr>
                <w:rFonts w:ascii="Arial" w:hAnsi="Arial" w:cs="Arial"/>
                <w:b/>
                <w:bCs/>
                <w:color w:val="000000"/>
              </w:rPr>
            </w:pPr>
          </w:p>
        </w:tc>
        <w:tc>
          <w:tcPr>
            <w:tcW w:w="8112" w:type="dxa"/>
            <w:gridSpan w:val="3"/>
            <w:tcBorders>
              <w:top w:val="nil"/>
              <w:left w:val="nil"/>
              <w:bottom w:val="nil"/>
              <w:right w:val="nil"/>
            </w:tcBorders>
            <w:shd w:val="clear" w:color="auto" w:fill="auto"/>
            <w:vAlign w:val="center"/>
            <w:hideMark/>
          </w:tcPr>
          <w:p w:rsidR="00A144F9" w:rsidRDefault="00A144F9" w:rsidP="005873FA">
            <w:pPr>
              <w:spacing w:after="0" w:line="240" w:lineRule="auto"/>
              <w:rPr>
                <w:rFonts w:ascii="Arial Narrow" w:hAnsi="Arial Narrow" w:cs="Arial"/>
                <w:b/>
                <w:bCs/>
                <w:color w:val="000000"/>
              </w:rPr>
            </w:pPr>
            <w:r w:rsidRPr="00363F03">
              <w:rPr>
                <w:rFonts w:ascii="Arial Narrow" w:hAnsi="Arial Narrow" w:cs="Arial"/>
                <w:b/>
                <w:bCs/>
                <w:color w:val="000000"/>
              </w:rPr>
              <w:t>Sub.:</w:t>
            </w:r>
            <w:r w:rsidRPr="00415F6B">
              <w:rPr>
                <w:rFonts w:ascii="Arial Narrow" w:hAnsi="Arial Narrow" w:cs="Arial"/>
                <w:b/>
                <w:bCs/>
                <w:color w:val="000000"/>
              </w:rPr>
              <w:t xml:space="preserve"> </w:t>
            </w:r>
            <w:r>
              <w:rPr>
                <w:rFonts w:ascii="Arial Narrow" w:hAnsi="Arial Narrow" w:cs="Arial"/>
                <w:b/>
                <w:bCs/>
                <w:color w:val="000000"/>
              </w:rPr>
              <w:t xml:space="preserve"> </w:t>
            </w:r>
            <w:r w:rsidRPr="00363F03">
              <w:rPr>
                <w:rFonts w:ascii="Arial Narrow" w:hAnsi="Arial Narrow" w:cs="Arial"/>
                <w:b/>
                <w:bCs/>
                <w:color w:val="000000"/>
              </w:rPr>
              <w:t xml:space="preserve">Comprehensive Annual Maintenance Service Contract for Computers, printers and </w:t>
            </w:r>
          </w:p>
          <w:p w:rsidR="00A144F9" w:rsidRPr="00363F03" w:rsidRDefault="00A144F9" w:rsidP="005873FA">
            <w:pPr>
              <w:spacing w:after="0" w:line="240" w:lineRule="auto"/>
              <w:rPr>
                <w:rFonts w:ascii="Arial Narrow" w:hAnsi="Arial Narrow" w:cs="Arial"/>
                <w:b/>
                <w:bCs/>
                <w:color w:val="000000"/>
              </w:rPr>
            </w:pPr>
            <w:r>
              <w:rPr>
                <w:rFonts w:ascii="Arial Narrow" w:hAnsi="Arial Narrow" w:cs="Arial"/>
                <w:b/>
                <w:bCs/>
                <w:color w:val="000000"/>
              </w:rPr>
              <w:t xml:space="preserve">           </w:t>
            </w:r>
            <w:r w:rsidRPr="00363F03">
              <w:rPr>
                <w:rFonts w:ascii="Arial Narrow" w:hAnsi="Arial Narrow" w:cs="Arial"/>
                <w:b/>
                <w:bCs/>
                <w:color w:val="000000"/>
              </w:rPr>
              <w:t>Peripherals</w:t>
            </w:r>
          </w:p>
        </w:tc>
      </w:tr>
      <w:tr w:rsidR="00A144F9" w:rsidRPr="00363F03" w:rsidTr="005873FA">
        <w:trPr>
          <w:trHeight w:val="450"/>
        </w:trPr>
        <w:tc>
          <w:tcPr>
            <w:tcW w:w="8928" w:type="dxa"/>
            <w:gridSpan w:val="4"/>
            <w:tcBorders>
              <w:top w:val="nil"/>
              <w:left w:val="nil"/>
              <w:bottom w:val="nil"/>
              <w:right w:val="nil"/>
            </w:tcBorders>
            <w:shd w:val="clear" w:color="auto" w:fill="auto"/>
            <w:vAlign w:val="center"/>
            <w:hideMark/>
          </w:tcPr>
          <w:p w:rsidR="00A144F9" w:rsidRPr="00DC00F2" w:rsidRDefault="00A144F9" w:rsidP="005873FA">
            <w:pPr>
              <w:spacing w:after="0" w:line="240" w:lineRule="auto"/>
              <w:jc w:val="both"/>
              <w:rPr>
                <w:rFonts w:ascii="Arial Narrow" w:hAnsi="Arial Narrow" w:cs="Arial"/>
                <w:b/>
                <w:bCs/>
                <w:sz w:val="24"/>
                <w:szCs w:val="24"/>
              </w:rPr>
            </w:pPr>
            <w:r>
              <w:rPr>
                <w:rFonts w:ascii="Arial Narrow" w:hAnsi="Arial Narrow" w:cs="Arial"/>
                <w:b/>
                <w:bCs/>
                <w:sz w:val="24"/>
                <w:szCs w:val="24"/>
              </w:rPr>
              <w:t>Tender Notice No.: TMH/</w:t>
            </w:r>
            <w:r w:rsidR="00680D2E">
              <w:rPr>
                <w:rFonts w:ascii="Arial Narrow" w:hAnsi="Arial Narrow" w:cs="Arial"/>
                <w:b/>
                <w:bCs/>
                <w:sz w:val="24"/>
                <w:szCs w:val="24"/>
              </w:rPr>
              <w:t>M&amp;VC-A/</w:t>
            </w:r>
            <w:r>
              <w:rPr>
                <w:rFonts w:ascii="Arial Narrow" w:hAnsi="Arial Narrow" w:cs="Arial"/>
                <w:b/>
                <w:bCs/>
                <w:sz w:val="24"/>
                <w:szCs w:val="24"/>
              </w:rPr>
              <w:t>IT/</w:t>
            </w:r>
            <w:r w:rsidR="00680D2E">
              <w:rPr>
                <w:rFonts w:ascii="Arial Narrow" w:hAnsi="Arial Narrow" w:cs="Arial"/>
                <w:b/>
                <w:bCs/>
                <w:sz w:val="24"/>
                <w:szCs w:val="24"/>
              </w:rPr>
              <w:t>2024-25/CAMC</w:t>
            </w:r>
            <w:r w:rsidRPr="00DC00F2">
              <w:rPr>
                <w:rFonts w:ascii="Arial Narrow" w:hAnsi="Arial Narrow" w:cs="Arial"/>
                <w:b/>
                <w:bCs/>
                <w:sz w:val="24"/>
                <w:szCs w:val="24"/>
              </w:rPr>
              <w:t>/</w:t>
            </w:r>
            <w:r w:rsidR="00680D2E">
              <w:rPr>
                <w:rFonts w:ascii="Arial Narrow" w:hAnsi="Arial Narrow" w:cs="Arial"/>
                <w:b/>
                <w:bCs/>
                <w:sz w:val="24"/>
                <w:szCs w:val="24"/>
              </w:rPr>
              <w:t>02</w:t>
            </w:r>
            <w:r w:rsidRPr="00DC00F2">
              <w:rPr>
                <w:rFonts w:ascii="Arial Narrow" w:hAnsi="Arial Narrow" w:cs="Arial"/>
                <w:b/>
                <w:bCs/>
                <w:sz w:val="24"/>
                <w:szCs w:val="24"/>
              </w:rPr>
              <w:t xml:space="preserve">            </w:t>
            </w:r>
            <w:r w:rsidR="00680D2E">
              <w:rPr>
                <w:rFonts w:ascii="Arial Narrow" w:hAnsi="Arial Narrow" w:cs="Arial"/>
                <w:b/>
                <w:bCs/>
                <w:sz w:val="24"/>
                <w:szCs w:val="24"/>
              </w:rPr>
              <w:t xml:space="preserve">  </w:t>
            </w:r>
            <w:r w:rsidR="00FC765F">
              <w:rPr>
                <w:rFonts w:ascii="Arial Narrow" w:hAnsi="Arial Narrow" w:cs="Arial"/>
                <w:b/>
                <w:bCs/>
                <w:sz w:val="24"/>
                <w:szCs w:val="24"/>
              </w:rPr>
              <w:t xml:space="preserve">                        Date: 09</w:t>
            </w:r>
            <w:r w:rsidR="003022DB">
              <w:rPr>
                <w:rFonts w:ascii="Arial Narrow" w:hAnsi="Arial Narrow" w:cs="Arial"/>
                <w:b/>
                <w:bCs/>
                <w:sz w:val="24"/>
                <w:szCs w:val="24"/>
              </w:rPr>
              <w:t>/10</w:t>
            </w:r>
            <w:r>
              <w:rPr>
                <w:rFonts w:ascii="Arial Narrow" w:hAnsi="Arial Narrow" w:cs="Arial"/>
                <w:b/>
                <w:bCs/>
                <w:sz w:val="24"/>
                <w:szCs w:val="24"/>
              </w:rPr>
              <w:t>/2024</w:t>
            </w:r>
          </w:p>
          <w:p w:rsidR="00A144F9" w:rsidRPr="00363F03" w:rsidRDefault="00A144F9" w:rsidP="005873FA">
            <w:pPr>
              <w:spacing w:after="0" w:line="240" w:lineRule="auto"/>
              <w:rPr>
                <w:rFonts w:ascii="Arial Narrow" w:hAnsi="Arial Narrow" w:cs="Arial"/>
                <w:b/>
                <w:bCs/>
                <w:color w:val="000000"/>
              </w:rPr>
            </w:pPr>
          </w:p>
        </w:tc>
      </w:tr>
      <w:tr w:rsidR="00A144F9" w:rsidRPr="00363F03" w:rsidTr="005873FA">
        <w:trPr>
          <w:trHeight w:val="495"/>
        </w:trPr>
        <w:tc>
          <w:tcPr>
            <w:tcW w:w="8928" w:type="dxa"/>
            <w:gridSpan w:val="4"/>
            <w:tcBorders>
              <w:top w:val="nil"/>
              <w:left w:val="nil"/>
              <w:bottom w:val="single" w:sz="4" w:space="0" w:color="auto"/>
              <w:right w:val="nil"/>
            </w:tcBorders>
            <w:shd w:val="clear" w:color="auto" w:fill="auto"/>
            <w:vAlign w:val="center"/>
            <w:hideMark/>
          </w:tcPr>
          <w:p w:rsidR="00A144F9" w:rsidRPr="00363F03" w:rsidRDefault="00A144F9" w:rsidP="005873FA">
            <w:pPr>
              <w:spacing w:after="0" w:line="240" w:lineRule="auto"/>
              <w:jc w:val="center"/>
              <w:rPr>
                <w:rFonts w:ascii="Arial Narrow" w:hAnsi="Arial Narrow" w:cs="Arial"/>
                <w:b/>
                <w:bCs/>
                <w:color w:val="000000"/>
              </w:rPr>
            </w:pPr>
            <w:r w:rsidRPr="00363F03">
              <w:rPr>
                <w:rFonts w:ascii="Arial Narrow" w:hAnsi="Arial Narrow" w:cs="Arial"/>
                <w:b/>
                <w:bCs/>
                <w:color w:val="000000"/>
              </w:rPr>
              <w:t xml:space="preserve">Following documents are mandatory in Technical Bid with </w:t>
            </w:r>
            <w:r>
              <w:rPr>
                <w:rFonts w:ascii="Arial Narrow" w:hAnsi="Arial Narrow" w:cs="Arial"/>
                <w:b/>
                <w:bCs/>
                <w:color w:val="000000"/>
              </w:rPr>
              <w:t>same chronological order as under.</w:t>
            </w:r>
          </w:p>
        </w:tc>
      </w:tr>
      <w:tr w:rsidR="00A144F9" w:rsidRPr="00363F03" w:rsidTr="005873FA">
        <w:trPr>
          <w:trHeight w:val="872"/>
        </w:trPr>
        <w:tc>
          <w:tcPr>
            <w:tcW w:w="8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SR. NO.</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b/>
                <w:bCs/>
                <w:color w:val="000000"/>
                <w:sz w:val="20"/>
                <w:szCs w:val="20"/>
              </w:rPr>
            </w:pPr>
            <w:r w:rsidRPr="00363F03">
              <w:rPr>
                <w:rFonts w:ascii="Arial Narrow" w:hAnsi="Arial Narrow" w:cs="Arial"/>
                <w:b/>
                <w:bCs/>
                <w:color w:val="000000"/>
                <w:sz w:val="20"/>
                <w:szCs w:val="20"/>
              </w:rPr>
              <w:t>NAME OF THE CONTRACTOR</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M/s. ___________________________</w:t>
            </w:r>
          </w:p>
        </w:tc>
      </w:tr>
      <w:tr w:rsidR="00A144F9" w:rsidRPr="00363F03" w:rsidTr="005873FA">
        <w:trPr>
          <w:trHeight w:val="620"/>
        </w:trPr>
        <w:tc>
          <w:tcPr>
            <w:tcW w:w="828" w:type="dxa"/>
            <w:gridSpan w:val="2"/>
            <w:vMerge/>
            <w:tcBorders>
              <w:top w:val="nil"/>
              <w:left w:val="single" w:sz="4" w:space="0" w:color="auto"/>
              <w:bottom w:val="single" w:sz="4" w:space="0" w:color="auto"/>
              <w:right w:val="single" w:sz="4" w:space="0" w:color="auto"/>
            </w:tcBorders>
            <w:vAlign w:val="center"/>
            <w:hideMark/>
          </w:tcPr>
          <w:p w:rsidR="00A144F9" w:rsidRPr="00363F03" w:rsidRDefault="00A144F9" w:rsidP="005873FA">
            <w:pPr>
              <w:spacing w:after="0" w:line="240" w:lineRule="auto"/>
              <w:rPr>
                <w:rFonts w:ascii="Arial" w:hAnsi="Arial" w:cs="Arial"/>
                <w:b/>
                <w:bCs/>
                <w:color w:val="000000"/>
                <w:sz w:val="20"/>
                <w:szCs w:val="20"/>
              </w:rPr>
            </w:pP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b/>
                <w:bCs/>
                <w:color w:val="000000"/>
                <w:sz w:val="20"/>
                <w:szCs w:val="20"/>
              </w:rPr>
            </w:pPr>
            <w:r w:rsidRPr="00363F03">
              <w:rPr>
                <w:rFonts w:ascii="Arial Narrow" w:hAnsi="Arial Narrow" w:cs="Arial"/>
                <w:b/>
                <w:bCs/>
                <w:color w:val="000000"/>
                <w:sz w:val="20"/>
                <w:szCs w:val="20"/>
              </w:rPr>
              <w:t>DESCRIPTION</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b/>
                <w:bCs/>
                <w:color w:val="000000"/>
                <w:sz w:val="20"/>
                <w:szCs w:val="20"/>
              </w:rPr>
            </w:pPr>
            <w:r w:rsidRPr="00363F03">
              <w:rPr>
                <w:rFonts w:ascii="Arial Narrow" w:hAnsi="Arial Narrow" w:cs="Arial"/>
                <w:b/>
                <w:bCs/>
                <w:color w:val="000000"/>
                <w:sz w:val="20"/>
                <w:szCs w:val="20"/>
              </w:rPr>
              <w:t>Documents attached :YES / NO</w:t>
            </w:r>
          </w:p>
        </w:tc>
      </w:tr>
      <w:tr w:rsidR="00A144F9" w:rsidRPr="00363F03" w:rsidTr="005873FA">
        <w:trPr>
          <w:trHeight w:val="94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1</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 xml:space="preserve">NIT, General Terms &amp; Condition, Scope of work of </w:t>
            </w:r>
            <w:proofErr w:type="gramStart"/>
            <w:r w:rsidRPr="00363F03">
              <w:rPr>
                <w:rFonts w:ascii="Arial Narrow" w:hAnsi="Arial Narrow" w:cs="Arial"/>
                <w:b/>
                <w:bCs/>
                <w:color w:val="000000"/>
                <w:sz w:val="20"/>
                <w:szCs w:val="20"/>
              </w:rPr>
              <w:t>tender  should</w:t>
            </w:r>
            <w:proofErr w:type="gramEnd"/>
            <w:r w:rsidRPr="00363F03">
              <w:rPr>
                <w:rFonts w:ascii="Arial Narrow" w:hAnsi="Arial Narrow" w:cs="Arial"/>
                <w:b/>
                <w:bCs/>
                <w:color w:val="000000"/>
                <w:sz w:val="20"/>
                <w:szCs w:val="20"/>
              </w:rPr>
              <w:t xml:space="preserve"> be duly sign and stamp by the agency on every page.</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57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2</w:t>
            </w:r>
          </w:p>
        </w:tc>
        <w:tc>
          <w:tcPr>
            <w:tcW w:w="5040" w:type="dxa"/>
            <w:tcBorders>
              <w:top w:val="nil"/>
              <w:left w:val="nil"/>
              <w:bottom w:val="single" w:sz="4" w:space="0" w:color="auto"/>
              <w:right w:val="single" w:sz="4" w:space="0" w:color="auto"/>
            </w:tcBorders>
            <w:shd w:val="clear" w:color="auto" w:fill="auto"/>
            <w:noWrap/>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Earnest Money Deposit (EMD) of Rs. 1,</w:t>
            </w:r>
            <w:r>
              <w:rPr>
                <w:rFonts w:ascii="Arial Narrow" w:hAnsi="Arial Narrow" w:cs="Arial"/>
                <w:b/>
                <w:bCs/>
                <w:color w:val="000000"/>
                <w:sz w:val="20"/>
                <w:szCs w:val="20"/>
              </w:rPr>
              <w:t>60,000</w:t>
            </w:r>
            <w:r w:rsidRPr="00363F03">
              <w:rPr>
                <w:rFonts w:ascii="Arial Narrow" w:hAnsi="Arial Narrow" w:cs="Arial"/>
                <w:b/>
                <w:bCs/>
                <w:color w:val="000000"/>
                <w:sz w:val="20"/>
                <w:szCs w:val="20"/>
              </w:rPr>
              <w:t xml:space="preserve">/- </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690"/>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3</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 xml:space="preserve">Turnover </w:t>
            </w:r>
            <w:proofErr w:type="gramStart"/>
            <w:r w:rsidRPr="00363F03">
              <w:rPr>
                <w:rFonts w:ascii="Arial Narrow" w:hAnsi="Arial Narrow" w:cs="Arial"/>
                <w:b/>
                <w:bCs/>
                <w:color w:val="000000"/>
                <w:sz w:val="20"/>
                <w:szCs w:val="20"/>
              </w:rPr>
              <w:t>for  last</w:t>
            </w:r>
            <w:proofErr w:type="gramEnd"/>
            <w:r w:rsidRPr="00363F03">
              <w:rPr>
                <w:rFonts w:ascii="Arial Narrow" w:hAnsi="Arial Narrow" w:cs="Arial"/>
                <w:b/>
                <w:bCs/>
                <w:color w:val="000000"/>
                <w:sz w:val="20"/>
                <w:szCs w:val="20"/>
              </w:rPr>
              <w:t xml:space="preserve"> three years and turnover from CAMC contract services should be shown separately.</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660"/>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4</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Annual Income Tax return filed with Income Tax Dept. for last 3 years.</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600"/>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5</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List of Engineer / Technical Staff with qualification.</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1260"/>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6</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 xml:space="preserve">The Agency should have </w:t>
            </w:r>
            <w:proofErr w:type="spellStart"/>
            <w:r w:rsidRPr="00363F03">
              <w:rPr>
                <w:rFonts w:ascii="Arial Narrow" w:hAnsi="Arial Narrow" w:cs="Arial"/>
                <w:b/>
                <w:bCs/>
                <w:color w:val="000000"/>
                <w:sz w:val="20"/>
                <w:szCs w:val="20"/>
              </w:rPr>
              <w:t>full</w:t>
            </w:r>
            <w:proofErr w:type="spellEnd"/>
            <w:r w:rsidRPr="00363F03">
              <w:rPr>
                <w:rFonts w:ascii="Arial Narrow" w:hAnsi="Arial Narrow" w:cs="Arial"/>
                <w:b/>
                <w:bCs/>
                <w:color w:val="000000"/>
                <w:sz w:val="20"/>
                <w:szCs w:val="20"/>
              </w:rPr>
              <w:t xml:space="preserve"> fledged office / service centre in </w:t>
            </w:r>
            <w:proofErr w:type="gramStart"/>
            <w:r w:rsidRPr="00363F03">
              <w:rPr>
                <w:rFonts w:ascii="Arial Narrow" w:hAnsi="Arial Narrow" w:cs="Arial"/>
                <w:b/>
                <w:bCs/>
                <w:color w:val="000000"/>
                <w:sz w:val="20"/>
                <w:szCs w:val="20"/>
              </w:rPr>
              <w:t>Mumbai  and</w:t>
            </w:r>
            <w:proofErr w:type="gramEnd"/>
            <w:r w:rsidRPr="00363F03">
              <w:rPr>
                <w:rFonts w:ascii="Arial Narrow" w:hAnsi="Arial Narrow" w:cs="Arial"/>
                <w:b/>
                <w:bCs/>
                <w:color w:val="000000"/>
                <w:sz w:val="20"/>
                <w:szCs w:val="20"/>
              </w:rPr>
              <w:t xml:space="preserve"> address of the service centre should be certified on the agency letter head.</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109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7</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 xml:space="preserve">Copies of the similar works carried out during last 5 years (i.e. work orders with SOQ). The performance </w:t>
            </w:r>
            <w:proofErr w:type="gramStart"/>
            <w:r w:rsidRPr="00363F03">
              <w:rPr>
                <w:rFonts w:ascii="Arial Narrow" w:hAnsi="Arial Narrow" w:cs="Arial"/>
                <w:b/>
                <w:bCs/>
                <w:color w:val="000000"/>
                <w:sz w:val="20"/>
                <w:szCs w:val="20"/>
              </w:rPr>
              <w:t>certificate  of</w:t>
            </w:r>
            <w:proofErr w:type="gramEnd"/>
            <w:r w:rsidRPr="00363F03">
              <w:rPr>
                <w:rFonts w:ascii="Arial Narrow" w:hAnsi="Arial Narrow" w:cs="Arial"/>
                <w:b/>
                <w:bCs/>
                <w:color w:val="000000"/>
                <w:sz w:val="20"/>
                <w:szCs w:val="20"/>
              </w:rPr>
              <w:t xml:space="preserve"> previous work &amp; copies of current contract</w:t>
            </w:r>
            <w:r>
              <w:rPr>
                <w:rFonts w:ascii="Arial Narrow" w:hAnsi="Arial Narrow" w:cs="Arial"/>
                <w:b/>
                <w:bCs/>
                <w:color w:val="000000"/>
                <w:sz w:val="20"/>
                <w:szCs w:val="20"/>
              </w:rPr>
              <w:t>s are</w:t>
            </w:r>
            <w:r w:rsidRPr="00363F03">
              <w:rPr>
                <w:rFonts w:ascii="Arial Narrow" w:hAnsi="Arial Narrow" w:cs="Arial"/>
                <w:b/>
                <w:bCs/>
                <w:color w:val="000000"/>
                <w:sz w:val="20"/>
                <w:szCs w:val="20"/>
              </w:rPr>
              <w:t xml:space="preserve"> to be submitted.</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p>
        </w:tc>
      </w:tr>
      <w:tr w:rsidR="00A144F9" w:rsidRPr="00363F03" w:rsidTr="005873FA">
        <w:trPr>
          <w:trHeight w:val="79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8</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 xml:space="preserve">Copies of GST NO., PAN Card and NEFT/ RTGS Bank Details with Cancelled </w:t>
            </w:r>
            <w:proofErr w:type="spellStart"/>
            <w:r w:rsidRPr="00363F03">
              <w:rPr>
                <w:rFonts w:ascii="Arial Narrow" w:hAnsi="Arial Narrow" w:cs="Arial"/>
                <w:b/>
                <w:bCs/>
                <w:color w:val="000000"/>
                <w:sz w:val="20"/>
                <w:szCs w:val="20"/>
              </w:rPr>
              <w:t>cheque</w:t>
            </w:r>
            <w:proofErr w:type="spellEnd"/>
            <w:r w:rsidRPr="00363F03">
              <w:rPr>
                <w:rFonts w:ascii="Arial Narrow" w:hAnsi="Arial Narrow" w:cs="Arial"/>
                <w:b/>
                <w:bCs/>
                <w:color w:val="000000"/>
                <w:sz w:val="20"/>
                <w:szCs w:val="20"/>
              </w:rPr>
              <w:t xml:space="preserve"> to be submitted.</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94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9</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Registration of Company (ROC), Incorporation of Company (IOC) and Registration certificate under Maharashtra shop &amp; Establishment ACT.</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915"/>
        </w:trPr>
        <w:tc>
          <w:tcPr>
            <w:tcW w:w="828" w:type="dxa"/>
            <w:gridSpan w:val="2"/>
            <w:tcBorders>
              <w:top w:val="nil"/>
              <w:left w:val="single" w:sz="4" w:space="0" w:color="auto"/>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w:hAnsi="Arial" w:cs="Arial"/>
                <w:b/>
                <w:bCs/>
                <w:color w:val="000000"/>
                <w:sz w:val="20"/>
                <w:szCs w:val="20"/>
              </w:rPr>
            </w:pPr>
            <w:r w:rsidRPr="00363F03">
              <w:rPr>
                <w:rFonts w:ascii="Arial" w:hAnsi="Arial" w:cs="Arial"/>
                <w:b/>
                <w:bCs/>
                <w:color w:val="000000"/>
                <w:sz w:val="20"/>
                <w:szCs w:val="20"/>
              </w:rPr>
              <w:t>10</w:t>
            </w:r>
          </w:p>
        </w:tc>
        <w:tc>
          <w:tcPr>
            <w:tcW w:w="504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rPr>
                <w:rFonts w:ascii="Arial Narrow" w:hAnsi="Arial Narrow" w:cs="Arial"/>
                <w:b/>
                <w:bCs/>
                <w:color w:val="000000"/>
                <w:sz w:val="20"/>
                <w:szCs w:val="20"/>
              </w:rPr>
            </w:pPr>
            <w:r w:rsidRPr="00363F03">
              <w:rPr>
                <w:rFonts w:ascii="Arial Narrow" w:hAnsi="Arial Narrow" w:cs="Arial"/>
                <w:b/>
                <w:bCs/>
                <w:color w:val="000000"/>
                <w:sz w:val="20"/>
                <w:szCs w:val="20"/>
              </w:rPr>
              <w:t>Contact person name, Designation, Email, Telephone, Mobile No., Fax No.</w:t>
            </w:r>
          </w:p>
        </w:tc>
        <w:tc>
          <w:tcPr>
            <w:tcW w:w="3060" w:type="dxa"/>
            <w:tcBorders>
              <w:top w:val="nil"/>
              <w:left w:val="nil"/>
              <w:bottom w:val="single" w:sz="4" w:space="0" w:color="auto"/>
              <w:right w:val="single" w:sz="4" w:space="0" w:color="auto"/>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r w:rsidRPr="00363F03">
              <w:rPr>
                <w:rFonts w:ascii="Arial Narrow" w:hAnsi="Arial Narrow" w:cs="Arial"/>
                <w:color w:val="000000"/>
                <w:sz w:val="20"/>
                <w:szCs w:val="20"/>
              </w:rPr>
              <w:t> </w:t>
            </w:r>
          </w:p>
        </w:tc>
      </w:tr>
      <w:tr w:rsidR="00A144F9" w:rsidRPr="00363F03" w:rsidTr="005873FA">
        <w:trPr>
          <w:trHeight w:val="300"/>
        </w:trPr>
        <w:tc>
          <w:tcPr>
            <w:tcW w:w="828" w:type="dxa"/>
            <w:gridSpan w:val="2"/>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w:hAnsi="Arial" w:cs="Arial"/>
                <w:color w:val="000000"/>
                <w:sz w:val="20"/>
                <w:szCs w:val="20"/>
              </w:rPr>
            </w:pPr>
          </w:p>
        </w:tc>
        <w:tc>
          <w:tcPr>
            <w:tcW w:w="5040" w:type="dxa"/>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p>
        </w:tc>
        <w:tc>
          <w:tcPr>
            <w:tcW w:w="3060" w:type="dxa"/>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p>
        </w:tc>
      </w:tr>
      <w:tr w:rsidR="00A144F9" w:rsidRPr="00363F03" w:rsidTr="005873FA">
        <w:trPr>
          <w:trHeight w:val="300"/>
        </w:trPr>
        <w:tc>
          <w:tcPr>
            <w:tcW w:w="828" w:type="dxa"/>
            <w:gridSpan w:val="2"/>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w:hAnsi="Arial" w:cs="Arial"/>
                <w:color w:val="000000"/>
                <w:sz w:val="20"/>
                <w:szCs w:val="20"/>
              </w:rPr>
            </w:pPr>
          </w:p>
        </w:tc>
        <w:tc>
          <w:tcPr>
            <w:tcW w:w="5040" w:type="dxa"/>
            <w:tcBorders>
              <w:top w:val="nil"/>
              <w:left w:val="nil"/>
              <w:bottom w:val="nil"/>
              <w:right w:val="nil"/>
            </w:tcBorders>
            <w:shd w:val="clear" w:color="auto" w:fill="auto"/>
            <w:vAlign w:val="center"/>
            <w:hideMark/>
          </w:tcPr>
          <w:p w:rsidR="00A144F9" w:rsidRPr="00363F03" w:rsidRDefault="00A144F9" w:rsidP="005873FA">
            <w:pPr>
              <w:spacing w:after="0" w:line="240" w:lineRule="auto"/>
              <w:rPr>
                <w:rFonts w:ascii="Arial Narrow" w:hAnsi="Arial Narrow" w:cs="Arial"/>
                <w:color w:val="000000"/>
                <w:sz w:val="20"/>
                <w:szCs w:val="20"/>
              </w:rPr>
            </w:pPr>
          </w:p>
        </w:tc>
        <w:tc>
          <w:tcPr>
            <w:tcW w:w="3060" w:type="dxa"/>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Narrow" w:hAnsi="Arial Narrow" w:cs="Arial"/>
                <w:color w:val="000000"/>
                <w:sz w:val="20"/>
                <w:szCs w:val="20"/>
              </w:rPr>
            </w:pPr>
          </w:p>
        </w:tc>
      </w:tr>
      <w:tr w:rsidR="00A144F9" w:rsidRPr="00363F03" w:rsidTr="005873FA">
        <w:trPr>
          <w:trHeight w:val="315"/>
        </w:trPr>
        <w:tc>
          <w:tcPr>
            <w:tcW w:w="828" w:type="dxa"/>
            <w:gridSpan w:val="2"/>
            <w:tcBorders>
              <w:top w:val="nil"/>
              <w:left w:val="nil"/>
              <w:bottom w:val="nil"/>
              <w:right w:val="nil"/>
            </w:tcBorders>
            <w:shd w:val="clear" w:color="auto" w:fill="auto"/>
            <w:vAlign w:val="center"/>
            <w:hideMark/>
          </w:tcPr>
          <w:p w:rsidR="00A144F9" w:rsidRPr="00363F03" w:rsidRDefault="00A144F9" w:rsidP="005873FA">
            <w:pPr>
              <w:spacing w:after="0" w:line="240" w:lineRule="auto"/>
              <w:jc w:val="center"/>
              <w:rPr>
                <w:rFonts w:ascii="Arial" w:hAnsi="Arial" w:cs="Arial"/>
                <w:color w:val="000000"/>
                <w:sz w:val="20"/>
                <w:szCs w:val="20"/>
              </w:rPr>
            </w:pPr>
          </w:p>
        </w:tc>
        <w:tc>
          <w:tcPr>
            <w:tcW w:w="8100" w:type="dxa"/>
            <w:gridSpan w:val="2"/>
            <w:tcBorders>
              <w:top w:val="nil"/>
              <w:left w:val="nil"/>
              <w:bottom w:val="nil"/>
              <w:right w:val="nil"/>
            </w:tcBorders>
            <w:shd w:val="clear" w:color="auto" w:fill="auto"/>
            <w:vAlign w:val="center"/>
            <w:hideMark/>
          </w:tcPr>
          <w:p w:rsidR="00A144F9" w:rsidRDefault="00A144F9" w:rsidP="005873FA">
            <w:pPr>
              <w:spacing w:after="0" w:line="240" w:lineRule="auto"/>
              <w:jc w:val="center"/>
              <w:rPr>
                <w:rFonts w:ascii="Arial Narrow" w:hAnsi="Arial Narrow" w:cs="Arial"/>
                <w:b/>
                <w:bCs/>
                <w:color w:val="000000"/>
                <w:sz w:val="20"/>
                <w:szCs w:val="20"/>
              </w:rPr>
            </w:pPr>
            <w:r w:rsidRPr="00363F03">
              <w:rPr>
                <w:rFonts w:ascii="Arial Narrow" w:hAnsi="Arial Narrow" w:cs="Arial"/>
                <w:b/>
                <w:bCs/>
                <w:color w:val="000000"/>
                <w:sz w:val="20"/>
                <w:szCs w:val="20"/>
              </w:rPr>
              <w:t>M/s. ______________________________________________________________</w:t>
            </w:r>
          </w:p>
          <w:p w:rsidR="00A144F9" w:rsidRDefault="00A144F9" w:rsidP="005873FA">
            <w:pPr>
              <w:spacing w:after="0" w:line="240" w:lineRule="auto"/>
              <w:jc w:val="center"/>
              <w:rPr>
                <w:rFonts w:ascii="Arial Narrow" w:hAnsi="Arial Narrow" w:cs="Arial"/>
                <w:b/>
                <w:bCs/>
                <w:color w:val="000000"/>
                <w:sz w:val="20"/>
                <w:szCs w:val="20"/>
              </w:rPr>
            </w:pPr>
          </w:p>
          <w:p w:rsidR="00A144F9" w:rsidRDefault="00A144F9" w:rsidP="005873FA">
            <w:pPr>
              <w:spacing w:after="0" w:line="240" w:lineRule="auto"/>
              <w:jc w:val="center"/>
              <w:rPr>
                <w:rFonts w:ascii="Arial Narrow" w:hAnsi="Arial Narrow" w:cs="Arial"/>
                <w:b/>
                <w:bCs/>
                <w:color w:val="000000"/>
                <w:sz w:val="20"/>
                <w:szCs w:val="20"/>
              </w:rPr>
            </w:pPr>
          </w:p>
          <w:p w:rsidR="00A144F9" w:rsidRPr="00363F03" w:rsidRDefault="00A144F9" w:rsidP="005873FA">
            <w:pPr>
              <w:spacing w:after="0" w:line="240" w:lineRule="auto"/>
              <w:jc w:val="center"/>
              <w:rPr>
                <w:rFonts w:ascii="Arial Narrow" w:hAnsi="Arial Narrow" w:cs="Arial"/>
                <w:b/>
                <w:bCs/>
                <w:color w:val="000000"/>
                <w:sz w:val="20"/>
                <w:szCs w:val="20"/>
              </w:rPr>
            </w:pPr>
            <w:r w:rsidRPr="00363F03">
              <w:rPr>
                <w:rFonts w:ascii="Arial Narrow" w:hAnsi="Arial Narrow" w:cs="Arial"/>
                <w:b/>
                <w:bCs/>
                <w:color w:val="000000"/>
                <w:sz w:val="20"/>
                <w:szCs w:val="20"/>
              </w:rPr>
              <w:t>(Contractor's Sign &amp; Stamp)</w:t>
            </w:r>
          </w:p>
        </w:tc>
      </w:tr>
    </w:tbl>
    <w:p w:rsidR="00A144F9" w:rsidRDefault="00A144F9">
      <w:pPr>
        <w:rPr>
          <w:rFonts w:ascii="Arial Narrow" w:hAnsi="Arial Narrow" w:cs="Arial"/>
          <w:b/>
        </w:rPr>
      </w:pPr>
    </w:p>
    <w:p w:rsidR="00A029F1" w:rsidRPr="00DC00F2" w:rsidRDefault="00A029F1" w:rsidP="00A029F1">
      <w:pPr>
        <w:tabs>
          <w:tab w:val="left" w:pos="2280"/>
          <w:tab w:val="left" w:pos="3360"/>
        </w:tabs>
        <w:spacing w:after="0" w:line="240" w:lineRule="auto"/>
        <w:jc w:val="center"/>
        <w:rPr>
          <w:rFonts w:ascii="Arial Narrow" w:hAnsi="Arial Narrow" w:cs="Arial"/>
          <w:b/>
          <w:color w:val="FF0000"/>
        </w:rPr>
      </w:pPr>
      <w:r w:rsidRPr="00DC00F2">
        <w:rPr>
          <w:rFonts w:ascii="Arial Narrow" w:hAnsi="Arial Narrow" w:cs="Arial"/>
          <w:b/>
        </w:rPr>
        <w:t>TATA MEMORIAL HOSPITAL</w:t>
      </w:r>
    </w:p>
    <w:p w:rsidR="00A029F1" w:rsidRPr="00DC00F2" w:rsidRDefault="00A029F1" w:rsidP="00A029F1">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DR. E. BORGES MARG.</w:t>
      </w:r>
    </w:p>
    <w:p w:rsidR="00A029F1" w:rsidRPr="00DC00F2" w:rsidRDefault="00A029F1" w:rsidP="00A029F1">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PAREL, MUMBAI - 400 012</w:t>
      </w:r>
    </w:p>
    <w:p w:rsidR="00A029F1" w:rsidRPr="007B1AFF" w:rsidRDefault="00A029F1" w:rsidP="00A029F1">
      <w:pPr>
        <w:spacing w:after="0" w:line="240" w:lineRule="auto"/>
        <w:jc w:val="both"/>
        <w:rPr>
          <w:rFonts w:ascii="Arial Narrow" w:hAnsi="Arial Narrow" w:cs="Arial"/>
          <w:bCs/>
          <w:sz w:val="24"/>
          <w:szCs w:val="24"/>
        </w:rPr>
      </w:pPr>
    </w:p>
    <w:p w:rsidR="00A029F1" w:rsidRPr="00DC00F2" w:rsidRDefault="00A029F1" w:rsidP="00A029F1">
      <w:pPr>
        <w:spacing w:after="0" w:line="240" w:lineRule="auto"/>
        <w:jc w:val="both"/>
        <w:rPr>
          <w:rFonts w:ascii="Arial Narrow" w:hAnsi="Arial Narrow" w:cs="Arial"/>
          <w:b/>
          <w:bCs/>
          <w:sz w:val="24"/>
          <w:szCs w:val="24"/>
        </w:rPr>
      </w:pPr>
      <w:r w:rsidRPr="00DC00F2">
        <w:rPr>
          <w:rFonts w:ascii="Arial Narrow" w:hAnsi="Arial Narrow" w:cs="Arial"/>
          <w:b/>
          <w:bCs/>
          <w:sz w:val="24"/>
          <w:szCs w:val="24"/>
        </w:rPr>
        <w:t xml:space="preserve">Tender Notice No.: </w:t>
      </w:r>
      <w:r w:rsidR="00680D2E">
        <w:rPr>
          <w:rFonts w:ascii="Arial Narrow" w:hAnsi="Arial Narrow" w:cs="Arial"/>
          <w:b/>
          <w:bCs/>
          <w:sz w:val="24"/>
          <w:szCs w:val="24"/>
        </w:rPr>
        <w:t>TMH/M&amp;VC-A/IT/2024-25/CAMC</w:t>
      </w:r>
      <w:r w:rsidR="00680D2E" w:rsidRPr="00DC00F2">
        <w:rPr>
          <w:rFonts w:ascii="Arial Narrow" w:hAnsi="Arial Narrow" w:cs="Arial"/>
          <w:b/>
          <w:bCs/>
          <w:sz w:val="24"/>
          <w:szCs w:val="24"/>
        </w:rPr>
        <w:t>/</w:t>
      </w:r>
      <w:r w:rsidR="00680D2E">
        <w:rPr>
          <w:rFonts w:ascii="Arial Narrow" w:hAnsi="Arial Narrow" w:cs="Arial"/>
          <w:b/>
          <w:bCs/>
          <w:sz w:val="24"/>
          <w:szCs w:val="24"/>
        </w:rPr>
        <w:t>02</w:t>
      </w:r>
      <w:r>
        <w:rPr>
          <w:rFonts w:ascii="Arial Narrow" w:hAnsi="Arial Narrow" w:cs="Arial"/>
          <w:b/>
          <w:bCs/>
          <w:sz w:val="24"/>
          <w:szCs w:val="24"/>
        </w:rPr>
        <w:tab/>
      </w:r>
      <w:r>
        <w:rPr>
          <w:rFonts w:ascii="Arial Narrow" w:hAnsi="Arial Narrow" w:cs="Arial"/>
          <w:b/>
          <w:bCs/>
          <w:sz w:val="24"/>
          <w:szCs w:val="24"/>
        </w:rPr>
        <w:tab/>
      </w:r>
      <w:r w:rsidR="00680D2E">
        <w:rPr>
          <w:rFonts w:ascii="Arial Narrow" w:hAnsi="Arial Narrow" w:cs="Arial"/>
          <w:b/>
          <w:bCs/>
          <w:sz w:val="24"/>
          <w:szCs w:val="24"/>
        </w:rPr>
        <w:tab/>
      </w:r>
      <w:r>
        <w:rPr>
          <w:rFonts w:ascii="Arial Narrow" w:hAnsi="Arial Narrow" w:cs="Arial"/>
          <w:b/>
          <w:bCs/>
          <w:sz w:val="24"/>
          <w:szCs w:val="24"/>
        </w:rPr>
        <w:t xml:space="preserve">            </w:t>
      </w:r>
      <w:r w:rsidRPr="00DC00F2">
        <w:rPr>
          <w:rFonts w:ascii="Arial Narrow" w:hAnsi="Arial Narrow" w:cs="Arial"/>
          <w:b/>
          <w:bCs/>
          <w:sz w:val="24"/>
          <w:szCs w:val="24"/>
        </w:rPr>
        <w:t xml:space="preserve">Date: </w:t>
      </w:r>
      <w:r>
        <w:rPr>
          <w:rFonts w:ascii="Arial Narrow" w:hAnsi="Arial Narrow" w:cs="Arial"/>
          <w:b/>
          <w:bCs/>
          <w:sz w:val="24"/>
          <w:szCs w:val="24"/>
        </w:rPr>
        <w:t xml:space="preserve"> </w:t>
      </w:r>
      <w:r w:rsidR="00CC6231">
        <w:rPr>
          <w:rFonts w:ascii="Arial Narrow" w:hAnsi="Arial Narrow" w:cs="Arial"/>
          <w:b/>
          <w:bCs/>
          <w:sz w:val="24"/>
          <w:szCs w:val="24"/>
        </w:rPr>
        <w:t>09</w:t>
      </w:r>
      <w:r w:rsidR="003022DB">
        <w:rPr>
          <w:rFonts w:ascii="Arial Narrow" w:hAnsi="Arial Narrow" w:cs="Arial"/>
          <w:b/>
          <w:bCs/>
          <w:sz w:val="24"/>
          <w:szCs w:val="24"/>
        </w:rPr>
        <w:t>/10</w:t>
      </w:r>
      <w:r w:rsidR="00334207">
        <w:rPr>
          <w:rFonts w:ascii="Arial Narrow" w:hAnsi="Arial Narrow" w:cs="Arial"/>
          <w:b/>
          <w:bCs/>
          <w:sz w:val="24"/>
          <w:szCs w:val="24"/>
        </w:rPr>
        <w:t>/2024</w:t>
      </w:r>
    </w:p>
    <w:p w:rsidR="00A029F1" w:rsidRDefault="00A029F1" w:rsidP="00A029F1">
      <w:pPr>
        <w:spacing w:after="0" w:line="240" w:lineRule="auto"/>
        <w:jc w:val="both"/>
        <w:rPr>
          <w:rFonts w:ascii="Arial Narrow" w:hAnsi="Arial Narrow" w:cs="Arial"/>
          <w:sz w:val="24"/>
          <w:szCs w:val="24"/>
        </w:rPr>
      </w:pPr>
    </w:p>
    <w:p w:rsidR="00A029F1" w:rsidRDefault="00A029F1" w:rsidP="00A029F1">
      <w:pPr>
        <w:spacing w:after="0" w:line="240" w:lineRule="auto"/>
        <w:jc w:val="both"/>
        <w:rPr>
          <w:rFonts w:ascii="Arial Narrow" w:hAnsi="Arial Narrow" w:cs="Arial"/>
          <w:sz w:val="24"/>
          <w:szCs w:val="24"/>
        </w:rPr>
      </w:pPr>
      <w:r>
        <w:rPr>
          <w:rFonts w:ascii="Arial Narrow" w:hAnsi="Arial Narrow" w:cs="Arial"/>
          <w:sz w:val="24"/>
          <w:szCs w:val="24"/>
        </w:rPr>
        <w:tab/>
      </w:r>
    </w:p>
    <w:p w:rsidR="00A029F1" w:rsidRPr="007B1AFF" w:rsidRDefault="00A029F1" w:rsidP="00A029F1">
      <w:pPr>
        <w:spacing w:after="0" w:line="240" w:lineRule="auto"/>
        <w:jc w:val="both"/>
        <w:rPr>
          <w:rFonts w:ascii="Arial Narrow" w:hAnsi="Arial Narrow" w:cs="Arial"/>
          <w:sz w:val="24"/>
          <w:szCs w:val="24"/>
        </w:rPr>
      </w:pPr>
      <w:r>
        <w:rPr>
          <w:rFonts w:ascii="Arial Narrow" w:hAnsi="Arial Narrow" w:cs="Arial"/>
          <w:sz w:val="24"/>
          <w:szCs w:val="24"/>
        </w:rPr>
        <w:t xml:space="preserve">Sealed Tenders in two bid (i.e. Technical Bid Part ‘A’ and Financial Bid Part ‘B’) are invited by the Director, Tata Memorial Centre, Dr. Ernest Borges </w:t>
      </w:r>
      <w:proofErr w:type="spellStart"/>
      <w:r>
        <w:rPr>
          <w:rFonts w:ascii="Arial Narrow" w:hAnsi="Arial Narrow" w:cs="Arial"/>
          <w:sz w:val="24"/>
          <w:szCs w:val="24"/>
        </w:rPr>
        <w:t>Marg</w:t>
      </w:r>
      <w:proofErr w:type="spellEnd"/>
      <w:r>
        <w:rPr>
          <w:rFonts w:ascii="Arial Narrow" w:hAnsi="Arial Narrow" w:cs="Arial"/>
          <w:sz w:val="24"/>
          <w:szCs w:val="24"/>
        </w:rPr>
        <w:t>, Parel, Mumbai- 400 012, for</w:t>
      </w:r>
      <w:r w:rsidRPr="007B1AFF">
        <w:rPr>
          <w:rFonts w:ascii="Arial Narrow" w:hAnsi="Arial Narrow" w:cs="Arial"/>
          <w:sz w:val="24"/>
          <w:szCs w:val="24"/>
        </w:rPr>
        <w:t xml:space="preserve"> the following work from the contractors having adequate experience and capabilities to execute s</w:t>
      </w:r>
      <w:r>
        <w:rPr>
          <w:rFonts w:ascii="Arial Narrow" w:hAnsi="Arial Narrow" w:cs="Arial"/>
          <w:sz w:val="24"/>
          <w:szCs w:val="24"/>
        </w:rPr>
        <w:t>uch magnitude of simila</w:t>
      </w:r>
      <w:r w:rsidR="00334207">
        <w:rPr>
          <w:rFonts w:ascii="Arial Narrow" w:hAnsi="Arial Narrow" w:cs="Arial"/>
          <w:sz w:val="24"/>
          <w:szCs w:val="24"/>
        </w:rPr>
        <w:t xml:space="preserve">r works for the period of </w:t>
      </w:r>
      <w:r w:rsidR="00334207" w:rsidRPr="00334207">
        <w:rPr>
          <w:rFonts w:ascii="Arial Narrow" w:hAnsi="Arial Narrow" w:cs="Arial"/>
          <w:b/>
          <w:sz w:val="24"/>
          <w:szCs w:val="24"/>
        </w:rPr>
        <w:t>2</w:t>
      </w:r>
      <w:r w:rsidRPr="00334207">
        <w:rPr>
          <w:rFonts w:ascii="Arial Narrow" w:hAnsi="Arial Narrow" w:cs="Arial"/>
          <w:b/>
          <w:sz w:val="24"/>
          <w:szCs w:val="24"/>
        </w:rPr>
        <w:t xml:space="preserve"> years</w:t>
      </w:r>
      <w:r>
        <w:rPr>
          <w:rFonts w:ascii="Arial Narrow" w:hAnsi="Arial Narrow" w:cs="Arial"/>
          <w:sz w:val="24"/>
          <w:szCs w:val="24"/>
        </w:rPr>
        <w:t xml:space="preserve"> i.e. from </w:t>
      </w:r>
      <w:r w:rsidR="00680D2E">
        <w:rPr>
          <w:rFonts w:ascii="Arial Narrow" w:hAnsi="Arial Narrow" w:cs="Arial"/>
          <w:b/>
          <w:sz w:val="24"/>
          <w:szCs w:val="24"/>
        </w:rPr>
        <w:t>01/11</w:t>
      </w:r>
      <w:r w:rsidR="00072B87">
        <w:rPr>
          <w:rFonts w:ascii="Arial Narrow" w:hAnsi="Arial Narrow" w:cs="Arial"/>
          <w:b/>
          <w:sz w:val="24"/>
          <w:szCs w:val="24"/>
        </w:rPr>
        <w:t>/</w:t>
      </w:r>
      <w:r w:rsidR="00334207" w:rsidRPr="00334207">
        <w:rPr>
          <w:rFonts w:ascii="Arial Narrow" w:hAnsi="Arial Narrow" w:cs="Arial"/>
          <w:b/>
          <w:sz w:val="24"/>
          <w:szCs w:val="24"/>
        </w:rPr>
        <w:t>2024</w:t>
      </w:r>
      <w:r>
        <w:rPr>
          <w:rFonts w:ascii="Arial Narrow" w:hAnsi="Arial Narrow" w:cs="Arial"/>
          <w:b/>
          <w:sz w:val="24"/>
          <w:szCs w:val="24"/>
        </w:rPr>
        <w:t xml:space="preserve"> to</w:t>
      </w:r>
      <w:r w:rsidR="00680D2E">
        <w:rPr>
          <w:rFonts w:ascii="Arial Narrow" w:hAnsi="Arial Narrow" w:cs="Arial"/>
          <w:b/>
          <w:sz w:val="24"/>
          <w:szCs w:val="24"/>
        </w:rPr>
        <w:t xml:space="preserve"> 31/10</w:t>
      </w:r>
      <w:r w:rsidR="00334207">
        <w:rPr>
          <w:rFonts w:ascii="Arial Narrow" w:hAnsi="Arial Narrow" w:cs="Arial"/>
          <w:b/>
          <w:sz w:val="24"/>
          <w:szCs w:val="24"/>
        </w:rPr>
        <w:t>/202</w:t>
      </w:r>
      <w:r w:rsidR="00072B87">
        <w:rPr>
          <w:rFonts w:ascii="Arial Narrow" w:hAnsi="Arial Narrow" w:cs="Arial"/>
          <w:b/>
          <w:sz w:val="24"/>
          <w:szCs w:val="24"/>
        </w:rPr>
        <w:t>6</w:t>
      </w:r>
    </w:p>
    <w:p w:rsidR="00A029F1" w:rsidRPr="007B1AFF" w:rsidRDefault="00A029F1" w:rsidP="00A029F1">
      <w:pPr>
        <w:spacing w:after="0" w:line="240" w:lineRule="auto"/>
        <w:ind w:firstLine="720"/>
        <w:jc w:val="both"/>
        <w:rPr>
          <w:rFonts w:ascii="Arial Narrow" w:hAnsi="Arial Narrow" w:cs="Arial"/>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9"/>
        <w:gridCol w:w="3323"/>
        <w:gridCol w:w="1723"/>
        <w:gridCol w:w="1980"/>
      </w:tblGrid>
      <w:tr w:rsidR="00CC6231" w:rsidRPr="007B1AFF" w:rsidTr="002A170D">
        <w:trPr>
          <w:jc w:val="center"/>
        </w:trPr>
        <w:tc>
          <w:tcPr>
            <w:tcW w:w="739" w:type="dxa"/>
          </w:tcPr>
          <w:p w:rsidR="00CC6231" w:rsidRPr="007B1AFF" w:rsidRDefault="00CC6231" w:rsidP="00857F24">
            <w:pPr>
              <w:spacing w:after="0" w:line="240" w:lineRule="auto"/>
              <w:jc w:val="center"/>
              <w:rPr>
                <w:rFonts w:ascii="Arial Narrow" w:hAnsi="Arial Narrow" w:cs="Arial"/>
                <w:bCs/>
                <w:sz w:val="24"/>
                <w:szCs w:val="24"/>
              </w:rPr>
            </w:pPr>
          </w:p>
          <w:p w:rsidR="00CC6231" w:rsidRPr="007B1AFF" w:rsidRDefault="00CC6231" w:rsidP="00857F24">
            <w:pPr>
              <w:spacing w:after="0" w:line="240" w:lineRule="auto"/>
              <w:jc w:val="center"/>
              <w:rPr>
                <w:rFonts w:ascii="Arial Narrow" w:hAnsi="Arial Narrow" w:cs="Arial"/>
                <w:bCs/>
                <w:sz w:val="24"/>
                <w:szCs w:val="24"/>
              </w:rPr>
            </w:pPr>
            <w:r w:rsidRPr="007B1AFF">
              <w:rPr>
                <w:rFonts w:ascii="Arial Narrow" w:hAnsi="Arial Narrow" w:cs="Arial"/>
                <w:bCs/>
                <w:sz w:val="24"/>
                <w:szCs w:val="24"/>
              </w:rPr>
              <w:t>Sr.</w:t>
            </w:r>
            <w:r>
              <w:rPr>
                <w:rFonts w:ascii="Arial Narrow" w:hAnsi="Arial Narrow" w:cs="Arial"/>
                <w:bCs/>
                <w:sz w:val="24"/>
                <w:szCs w:val="24"/>
              </w:rPr>
              <w:t xml:space="preserve"> </w:t>
            </w:r>
            <w:r w:rsidRPr="007B1AFF">
              <w:rPr>
                <w:rFonts w:ascii="Arial Narrow" w:hAnsi="Arial Narrow" w:cs="Arial"/>
                <w:bCs/>
                <w:sz w:val="24"/>
                <w:szCs w:val="24"/>
              </w:rPr>
              <w:t>No.</w:t>
            </w:r>
          </w:p>
        </w:tc>
        <w:tc>
          <w:tcPr>
            <w:tcW w:w="3323" w:type="dxa"/>
          </w:tcPr>
          <w:p w:rsidR="00CC6231" w:rsidRPr="007B1AFF" w:rsidRDefault="00CC6231" w:rsidP="00857F24">
            <w:pPr>
              <w:spacing w:after="0" w:line="240" w:lineRule="auto"/>
              <w:jc w:val="center"/>
              <w:rPr>
                <w:rFonts w:ascii="Arial Narrow" w:hAnsi="Arial Narrow" w:cs="Arial"/>
                <w:bCs/>
                <w:sz w:val="24"/>
                <w:szCs w:val="24"/>
              </w:rPr>
            </w:pPr>
          </w:p>
          <w:p w:rsidR="00CC6231" w:rsidRPr="007B1AFF" w:rsidRDefault="00CC6231" w:rsidP="00857F24">
            <w:pPr>
              <w:spacing w:after="0" w:line="240" w:lineRule="auto"/>
              <w:jc w:val="center"/>
              <w:rPr>
                <w:rFonts w:ascii="Arial Narrow" w:hAnsi="Arial Narrow" w:cs="Arial"/>
                <w:bCs/>
                <w:sz w:val="24"/>
                <w:szCs w:val="24"/>
              </w:rPr>
            </w:pPr>
            <w:r w:rsidRPr="007B1AFF">
              <w:rPr>
                <w:rFonts w:ascii="Arial Narrow" w:hAnsi="Arial Narrow" w:cs="Arial"/>
                <w:bCs/>
                <w:sz w:val="24"/>
                <w:szCs w:val="24"/>
              </w:rPr>
              <w:t>Name of work</w:t>
            </w:r>
          </w:p>
        </w:tc>
        <w:tc>
          <w:tcPr>
            <w:tcW w:w="1723" w:type="dxa"/>
          </w:tcPr>
          <w:p w:rsidR="00CC6231" w:rsidRPr="007B1AFF" w:rsidRDefault="00CC6231" w:rsidP="00857F24">
            <w:pPr>
              <w:spacing w:after="0" w:line="240" w:lineRule="auto"/>
              <w:jc w:val="center"/>
              <w:rPr>
                <w:rFonts w:ascii="Arial Narrow" w:hAnsi="Arial Narrow" w:cs="Arial"/>
                <w:bCs/>
                <w:sz w:val="24"/>
                <w:szCs w:val="24"/>
              </w:rPr>
            </w:pPr>
          </w:p>
          <w:p w:rsidR="00CC6231" w:rsidRPr="007B1AFF" w:rsidRDefault="00CC6231" w:rsidP="00857F24">
            <w:pPr>
              <w:spacing w:after="0" w:line="240" w:lineRule="auto"/>
              <w:jc w:val="center"/>
              <w:rPr>
                <w:rFonts w:ascii="Arial Narrow" w:hAnsi="Arial Narrow" w:cs="Arial"/>
                <w:bCs/>
                <w:sz w:val="24"/>
                <w:szCs w:val="24"/>
              </w:rPr>
            </w:pPr>
            <w:r w:rsidRPr="007B1AFF">
              <w:rPr>
                <w:rFonts w:ascii="Arial Narrow" w:hAnsi="Arial Narrow" w:cs="Arial"/>
                <w:bCs/>
                <w:sz w:val="24"/>
                <w:szCs w:val="24"/>
              </w:rPr>
              <w:t>E.M.D.</w:t>
            </w:r>
            <w:r>
              <w:rPr>
                <w:rFonts w:ascii="Arial Narrow" w:hAnsi="Arial Narrow" w:cs="Arial"/>
                <w:bCs/>
                <w:sz w:val="24"/>
                <w:szCs w:val="24"/>
              </w:rPr>
              <w:t xml:space="preserve"> to be submitted while quoting</w:t>
            </w:r>
          </w:p>
        </w:tc>
        <w:tc>
          <w:tcPr>
            <w:tcW w:w="1980" w:type="dxa"/>
          </w:tcPr>
          <w:p w:rsidR="00CC6231" w:rsidRPr="007B1AFF" w:rsidRDefault="00CC6231" w:rsidP="00857F24">
            <w:pPr>
              <w:spacing w:after="0" w:line="240" w:lineRule="auto"/>
              <w:jc w:val="center"/>
              <w:rPr>
                <w:rFonts w:ascii="Arial Narrow" w:hAnsi="Arial Narrow" w:cs="Arial"/>
                <w:bCs/>
                <w:sz w:val="24"/>
                <w:szCs w:val="24"/>
              </w:rPr>
            </w:pPr>
          </w:p>
          <w:p w:rsidR="00CC6231" w:rsidRPr="007B1AFF" w:rsidRDefault="00CC6231" w:rsidP="00857F24">
            <w:pPr>
              <w:spacing w:after="0" w:line="240" w:lineRule="auto"/>
              <w:jc w:val="center"/>
              <w:rPr>
                <w:rFonts w:ascii="Arial Narrow" w:hAnsi="Arial Narrow" w:cs="Arial"/>
                <w:bCs/>
                <w:sz w:val="24"/>
                <w:szCs w:val="24"/>
              </w:rPr>
            </w:pPr>
            <w:r w:rsidRPr="007B1AFF">
              <w:rPr>
                <w:rFonts w:ascii="Arial Narrow" w:hAnsi="Arial Narrow" w:cs="Arial"/>
                <w:bCs/>
                <w:sz w:val="24"/>
                <w:szCs w:val="24"/>
              </w:rPr>
              <w:t>Tender</w:t>
            </w:r>
            <w:r>
              <w:rPr>
                <w:rFonts w:ascii="Arial Narrow" w:hAnsi="Arial Narrow" w:cs="Arial"/>
                <w:bCs/>
                <w:sz w:val="24"/>
                <w:szCs w:val="24"/>
              </w:rPr>
              <w:t xml:space="preserve"> form</w:t>
            </w:r>
            <w:r w:rsidRPr="007B1AFF">
              <w:rPr>
                <w:rFonts w:ascii="Arial Narrow" w:hAnsi="Arial Narrow" w:cs="Arial"/>
                <w:bCs/>
                <w:sz w:val="24"/>
                <w:szCs w:val="24"/>
              </w:rPr>
              <w:t xml:space="preserve"> Cost</w:t>
            </w:r>
          </w:p>
          <w:p w:rsidR="00CC6231" w:rsidRPr="007B1AFF" w:rsidRDefault="00CC6231" w:rsidP="00857F24">
            <w:pPr>
              <w:spacing w:after="0" w:line="240" w:lineRule="auto"/>
              <w:jc w:val="center"/>
              <w:rPr>
                <w:rFonts w:ascii="Arial Narrow" w:hAnsi="Arial Narrow" w:cs="Arial"/>
                <w:bCs/>
                <w:sz w:val="24"/>
                <w:szCs w:val="24"/>
              </w:rPr>
            </w:pPr>
          </w:p>
        </w:tc>
      </w:tr>
      <w:tr w:rsidR="00CC6231" w:rsidRPr="007B1AFF" w:rsidTr="002A170D">
        <w:trPr>
          <w:jc w:val="center"/>
        </w:trPr>
        <w:tc>
          <w:tcPr>
            <w:tcW w:w="739" w:type="dxa"/>
          </w:tcPr>
          <w:p w:rsidR="00CC6231" w:rsidRPr="007B1AFF" w:rsidRDefault="00CC6231" w:rsidP="00857F24">
            <w:pPr>
              <w:spacing w:after="0" w:line="240" w:lineRule="auto"/>
              <w:jc w:val="both"/>
              <w:rPr>
                <w:rFonts w:ascii="Arial Narrow" w:hAnsi="Arial Narrow" w:cs="Arial"/>
                <w:bCs/>
                <w:sz w:val="24"/>
                <w:szCs w:val="24"/>
              </w:rPr>
            </w:pPr>
          </w:p>
          <w:p w:rsidR="00CC6231" w:rsidRPr="007B1AFF" w:rsidRDefault="00CC6231" w:rsidP="00857F24">
            <w:pPr>
              <w:spacing w:after="0" w:line="240" w:lineRule="auto"/>
              <w:jc w:val="center"/>
              <w:rPr>
                <w:rFonts w:ascii="Arial Narrow" w:hAnsi="Arial Narrow" w:cs="Arial"/>
                <w:bCs/>
                <w:sz w:val="24"/>
                <w:szCs w:val="24"/>
              </w:rPr>
            </w:pPr>
            <w:r w:rsidRPr="007B1AFF">
              <w:rPr>
                <w:rFonts w:ascii="Arial Narrow" w:hAnsi="Arial Narrow" w:cs="Arial"/>
                <w:bCs/>
                <w:sz w:val="24"/>
                <w:szCs w:val="24"/>
              </w:rPr>
              <w:t>1</w:t>
            </w:r>
          </w:p>
        </w:tc>
        <w:tc>
          <w:tcPr>
            <w:tcW w:w="3323" w:type="dxa"/>
          </w:tcPr>
          <w:p w:rsidR="00CC6231" w:rsidRPr="007B1AFF" w:rsidRDefault="00CC6231" w:rsidP="00857F24">
            <w:pPr>
              <w:spacing w:after="0" w:line="240" w:lineRule="auto"/>
              <w:jc w:val="both"/>
              <w:rPr>
                <w:rFonts w:ascii="Arial Narrow" w:hAnsi="Arial Narrow" w:cs="Arial"/>
                <w:bCs/>
                <w:sz w:val="24"/>
                <w:szCs w:val="24"/>
              </w:rPr>
            </w:pPr>
          </w:p>
          <w:p w:rsidR="00CC6231" w:rsidRDefault="00CC6231" w:rsidP="00857F24">
            <w:pPr>
              <w:spacing w:after="0" w:line="240" w:lineRule="auto"/>
              <w:jc w:val="both"/>
              <w:rPr>
                <w:rFonts w:ascii="Arial Narrow" w:hAnsi="Arial Narrow" w:cs="Arial"/>
                <w:bCs/>
                <w:sz w:val="24"/>
                <w:szCs w:val="24"/>
              </w:rPr>
            </w:pPr>
            <w:r w:rsidRPr="007B1AFF">
              <w:rPr>
                <w:rFonts w:ascii="Arial Narrow" w:hAnsi="Arial Narrow" w:cs="Arial"/>
                <w:bCs/>
                <w:sz w:val="24"/>
                <w:szCs w:val="24"/>
              </w:rPr>
              <w:t xml:space="preserve">Comprehensive Annual Maintenance Service Contract for Computers, Printers, Peripherals </w:t>
            </w:r>
            <w:r>
              <w:rPr>
                <w:rFonts w:ascii="Arial Narrow" w:hAnsi="Arial Narrow" w:cs="Arial"/>
                <w:bCs/>
                <w:sz w:val="24"/>
                <w:szCs w:val="24"/>
              </w:rPr>
              <w:t>(</w:t>
            </w:r>
            <w:r w:rsidRPr="007B1AFF">
              <w:rPr>
                <w:rFonts w:ascii="Arial Narrow" w:hAnsi="Arial Narrow" w:cs="Arial"/>
                <w:bCs/>
                <w:sz w:val="24"/>
                <w:szCs w:val="24"/>
              </w:rPr>
              <w:t xml:space="preserve">Dot Matrix, </w:t>
            </w:r>
            <w:proofErr w:type="spellStart"/>
            <w:r w:rsidRPr="007B1AFF">
              <w:rPr>
                <w:rFonts w:ascii="Arial Narrow" w:hAnsi="Arial Narrow" w:cs="Arial"/>
                <w:bCs/>
                <w:sz w:val="24"/>
                <w:szCs w:val="24"/>
              </w:rPr>
              <w:t>Laserjet</w:t>
            </w:r>
            <w:proofErr w:type="spellEnd"/>
            <w:r w:rsidRPr="007B1AFF">
              <w:rPr>
                <w:rFonts w:ascii="Arial Narrow" w:hAnsi="Arial Narrow" w:cs="Arial"/>
                <w:bCs/>
                <w:sz w:val="24"/>
                <w:szCs w:val="24"/>
              </w:rPr>
              <w:t xml:space="preserve">, </w:t>
            </w:r>
            <w:proofErr w:type="spellStart"/>
            <w:r w:rsidRPr="007B1AFF">
              <w:rPr>
                <w:rFonts w:ascii="Arial Narrow" w:hAnsi="Arial Narrow" w:cs="Arial"/>
                <w:bCs/>
                <w:sz w:val="24"/>
                <w:szCs w:val="24"/>
              </w:rPr>
              <w:t>Deskjet</w:t>
            </w:r>
            <w:proofErr w:type="spellEnd"/>
            <w:r>
              <w:rPr>
                <w:rFonts w:ascii="Arial Narrow" w:hAnsi="Arial Narrow" w:cs="Arial"/>
                <w:bCs/>
                <w:sz w:val="24"/>
                <w:szCs w:val="24"/>
              </w:rPr>
              <w:t>,</w:t>
            </w:r>
            <w:r w:rsidRPr="007B1AFF">
              <w:rPr>
                <w:rFonts w:ascii="Arial Narrow" w:hAnsi="Arial Narrow" w:cs="Arial"/>
                <w:bCs/>
                <w:sz w:val="24"/>
                <w:szCs w:val="24"/>
              </w:rPr>
              <w:t xml:space="preserve"> </w:t>
            </w:r>
            <w:proofErr w:type="spellStart"/>
            <w:r w:rsidRPr="007B1AFF">
              <w:rPr>
                <w:rFonts w:ascii="Arial Narrow" w:hAnsi="Arial Narrow" w:cs="Arial"/>
                <w:bCs/>
                <w:sz w:val="24"/>
                <w:szCs w:val="24"/>
              </w:rPr>
              <w:t>Officejet</w:t>
            </w:r>
            <w:proofErr w:type="spellEnd"/>
            <w:r>
              <w:rPr>
                <w:rFonts w:ascii="Arial Narrow" w:hAnsi="Arial Narrow" w:cs="Arial"/>
                <w:bCs/>
                <w:sz w:val="24"/>
                <w:szCs w:val="24"/>
              </w:rPr>
              <w:t xml:space="preserve"> &amp; </w:t>
            </w:r>
            <w:proofErr w:type="spellStart"/>
            <w:r>
              <w:rPr>
                <w:rFonts w:ascii="Arial Narrow" w:hAnsi="Arial Narrow" w:cs="Arial"/>
                <w:bCs/>
                <w:sz w:val="24"/>
                <w:szCs w:val="24"/>
              </w:rPr>
              <w:t>Colour</w:t>
            </w:r>
            <w:proofErr w:type="spellEnd"/>
            <w:r>
              <w:rPr>
                <w:rFonts w:ascii="Arial Narrow" w:hAnsi="Arial Narrow" w:cs="Arial"/>
                <w:bCs/>
                <w:sz w:val="24"/>
                <w:szCs w:val="24"/>
              </w:rPr>
              <w:t xml:space="preserve"> </w:t>
            </w:r>
            <w:proofErr w:type="spellStart"/>
            <w:r>
              <w:rPr>
                <w:rFonts w:ascii="Arial Narrow" w:hAnsi="Arial Narrow" w:cs="Arial"/>
                <w:bCs/>
                <w:sz w:val="24"/>
                <w:szCs w:val="24"/>
              </w:rPr>
              <w:t>Laserjet</w:t>
            </w:r>
            <w:proofErr w:type="spellEnd"/>
            <w:r>
              <w:rPr>
                <w:rFonts w:ascii="Arial Narrow" w:hAnsi="Arial Narrow" w:cs="Arial"/>
                <w:bCs/>
                <w:sz w:val="24"/>
                <w:szCs w:val="24"/>
              </w:rPr>
              <w:t>)</w:t>
            </w:r>
            <w:r w:rsidRPr="007B1AFF">
              <w:rPr>
                <w:rFonts w:ascii="Arial Narrow" w:hAnsi="Arial Narrow" w:cs="Arial"/>
                <w:bCs/>
                <w:sz w:val="24"/>
                <w:szCs w:val="24"/>
              </w:rPr>
              <w:t xml:space="preserve"> for the period of two years.</w:t>
            </w:r>
          </w:p>
          <w:p w:rsidR="00CC6231" w:rsidRPr="007B1AFF" w:rsidRDefault="00CC6231" w:rsidP="00857F24">
            <w:pPr>
              <w:spacing w:after="0" w:line="240" w:lineRule="auto"/>
              <w:jc w:val="both"/>
              <w:rPr>
                <w:rFonts w:ascii="Arial Narrow" w:hAnsi="Arial Narrow" w:cs="Arial"/>
                <w:bCs/>
                <w:sz w:val="24"/>
                <w:szCs w:val="24"/>
              </w:rPr>
            </w:pPr>
          </w:p>
        </w:tc>
        <w:tc>
          <w:tcPr>
            <w:tcW w:w="1723" w:type="dxa"/>
            <w:vAlign w:val="center"/>
          </w:tcPr>
          <w:p w:rsidR="00CC6231" w:rsidRPr="00672C0D" w:rsidRDefault="00CC6231" w:rsidP="00680D2E">
            <w:pPr>
              <w:spacing w:after="0" w:line="240" w:lineRule="auto"/>
              <w:jc w:val="center"/>
              <w:rPr>
                <w:rFonts w:ascii="Arial Narrow" w:hAnsi="Arial Narrow" w:cs="Arial"/>
                <w:b/>
                <w:bCs/>
                <w:sz w:val="24"/>
                <w:szCs w:val="24"/>
              </w:rPr>
            </w:pPr>
            <w:r w:rsidRPr="00672C0D">
              <w:rPr>
                <w:rFonts w:ascii="Arial Narrow" w:hAnsi="Arial Narrow" w:cs="Arial"/>
                <w:b/>
                <w:bCs/>
                <w:sz w:val="24"/>
                <w:szCs w:val="24"/>
              </w:rPr>
              <w:t>Rs</w:t>
            </w:r>
            <w:r w:rsidR="00E07B88">
              <w:rPr>
                <w:rFonts w:ascii="Arial Narrow" w:hAnsi="Arial Narrow" w:cs="Arial"/>
                <w:b/>
                <w:bCs/>
                <w:sz w:val="24"/>
                <w:szCs w:val="24"/>
              </w:rPr>
              <w:t xml:space="preserve">. </w:t>
            </w:r>
            <w:r>
              <w:rPr>
                <w:rFonts w:ascii="Arial Narrow" w:hAnsi="Arial Narrow" w:cs="Arial"/>
                <w:b/>
                <w:bCs/>
                <w:sz w:val="24"/>
                <w:szCs w:val="24"/>
              </w:rPr>
              <w:t>1</w:t>
            </w:r>
            <w:proofErr w:type="gramStart"/>
            <w:r>
              <w:rPr>
                <w:rFonts w:ascii="Arial Narrow" w:hAnsi="Arial Narrow" w:cs="Arial"/>
                <w:b/>
                <w:bCs/>
                <w:sz w:val="24"/>
                <w:szCs w:val="24"/>
              </w:rPr>
              <w:t>,60,000</w:t>
            </w:r>
            <w:proofErr w:type="gramEnd"/>
            <w:r w:rsidRPr="00672C0D">
              <w:rPr>
                <w:rFonts w:ascii="Arial Narrow" w:hAnsi="Arial Narrow" w:cs="Arial"/>
                <w:b/>
                <w:bCs/>
                <w:sz w:val="24"/>
                <w:szCs w:val="24"/>
              </w:rPr>
              <w:t>.</w:t>
            </w:r>
            <w:r>
              <w:rPr>
                <w:rFonts w:ascii="Arial Narrow" w:hAnsi="Arial Narrow" w:cs="Arial"/>
                <w:b/>
                <w:bCs/>
                <w:sz w:val="24"/>
                <w:szCs w:val="24"/>
              </w:rPr>
              <w:t>/-</w:t>
            </w:r>
          </w:p>
        </w:tc>
        <w:tc>
          <w:tcPr>
            <w:tcW w:w="1980" w:type="dxa"/>
            <w:vAlign w:val="center"/>
          </w:tcPr>
          <w:p w:rsidR="00CC6231" w:rsidRPr="00672C0D" w:rsidRDefault="00CC6231" w:rsidP="00857F24">
            <w:pPr>
              <w:spacing w:after="0" w:line="240" w:lineRule="auto"/>
              <w:jc w:val="center"/>
              <w:rPr>
                <w:rFonts w:ascii="Arial Narrow" w:hAnsi="Arial Narrow" w:cs="Arial"/>
                <w:b/>
                <w:bCs/>
                <w:sz w:val="24"/>
                <w:szCs w:val="24"/>
              </w:rPr>
            </w:pPr>
            <w:r w:rsidRPr="00672C0D">
              <w:rPr>
                <w:rFonts w:ascii="Arial Narrow" w:hAnsi="Arial Narrow" w:cs="Arial"/>
                <w:b/>
                <w:bCs/>
                <w:sz w:val="24"/>
                <w:szCs w:val="24"/>
              </w:rPr>
              <w:t>Rs. 500/- (Cash )</w:t>
            </w:r>
          </w:p>
        </w:tc>
      </w:tr>
    </w:tbl>
    <w:p w:rsidR="00A029F1" w:rsidRPr="007B1AFF" w:rsidRDefault="00A029F1" w:rsidP="00A029F1">
      <w:pPr>
        <w:spacing w:after="0" w:line="240" w:lineRule="auto"/>
        <w:jc w:val="both"/>
        <w:rPr>
          <w:rFonts w:ascii="Arial Narrow" w:hAnsi="Arial Narrow" w:cs="Arial"/>
          <w:sz w:val="24"/>
          <w:szCs w:val="24"/>
        </w:rPr>
      </w:pPr>
      <w:r w:rsidRPr="007B1AFF">
        <w:rPr>
          <w:rFonts w:ascii="Arial Narrow" w:hAnsi="Arial Narrow" w:cs="Arial"/>
          <w:sz w:val="24"/>
          <w:szCs w:val="24"/>
        </w:rPr>
        <w:t xml:space="preserve"> </w:t>
      </w:r>
    </w:p>
    <w:p w:rsidR="00A029F1" w:rsidRPr="0004585D" w:rsidRDefault="00A029F1" w:rsidP="00A029F1">
      <w:pPr>
        <w:numPr>
          <w:ilvl w:val="0"/>
          <w:numId w:val="1"/>
        </w:numPr>
        <w:spacing w:after="0" w:line="240" w:lineRule="auto"/>
        <w:jc w:val="both"/>
        <w:rPr>
          <w:rFonts w:ascii="Arial Narrow" w:hAnsi="Arial Narrow" w:cs="Arial"/>
          <w:b/>
          <w:sz w:val="24"/>
          <w:szCs w:val="24"/>
        </w:rPr>
      </w:pPr>
      <w:r w:rsidRPr="007B1AFF">
        <w:rPr>
          <w:rFonts w:ascii="Arial Narrow" w:hAnsi="Arial Narrow" w:cs="Arial"/>
          <w:bCs/>
          <w:sz w:val="24"/>
          <w:szCs w:val="24"/>
        </w:rPr>
        <w:t>Date of sale of tender documents</w:t>
      </w:r>
      <w:r>
        <w:rPr>
          <w:rFonts w:ascii="Arial Narrow" w:hAnsi="Arial Narrow" w:cs="Arial"/>
          <w:bCs/>
          <w:sz w:val="24"/>
          <w:szCs w:val="24"/>
        </w:rPr>
        <w:t xml:space="preserve">  </w:t>
      </w:r>
      <w:r w:rsidRPr="007B1AFF">
        <w:rPr>
          <w:rFonts w:ascii="Arial Narrow" w:hAnsi="Arial Narrow" w:cs="Arial"/>
          <w:bCs/>
          <w:sz w:val="24"/>
          <w:szCs w:val="24"/>
        </w:rPr>
        <w:t>:</w:t>
      </w:r>
      <w:r>
        <w:rPr>
          <w:rFonts w:ascii="Arial Narrow" w:hAnsi="Arial Narrow" w:cs="Arial"/>
          <w:sz w:val="24"/>
          <w:szCs w:val="24"/>
        </w:rPr>
        <w:t xml:space="preserve"> </w:t>
      </w:r>
      <w:r w:rsidRPr="007B1AFF">
        <w:rPr>
          <w:rFonts w:ascii="Arial Narrow" w:hAnsi="Arial Narrow" w:cs="Arial"/>
          <w:bCs/>
          <w:sz w:val="24"/>
          <w:szCs w:val="24"/>
        </w:rPr>
        <w:t xml:space="preserve">from </w:t>
      </w:r>
      <w:r w:rsidR="00FC765F" w:rsidRPr="00FC765F">
        <w:rPr>
          <w:rFonts w:ascii="Arial Narrow" w:hAnsi="Arial Narrow" w:cs="Arial"/>
          <w:b/>
          <w:sz w:val="24"/>
          <w:szCs w:val="24"/>
        </w:rPr>
        <w:t>10/10/2024</w:t>
      </w:r>
      <w:r w:rsidR="00334207">
        <w:rPr>
          <w:rFonts w:ascii="Arial Narrow" w:hAnsi="Arial Narrow" w:cs="Arial"/>
          <w:b/>
          <w:bCs/>
          <w:sz w:val="24"/>
          <w:szCs w:val="24"/>
        </w:rPr>
        <w:t xml:space="preserve"> </w:t>
      </w:r>
      <w:r w:rsidRPr="0004585D">
        <w:rPr>
          <w:rFonts w:ascii="Arial Narrow" w:hAnsi="Arial Narrow" w:cs="Arial"/>
          <w:b/>
          <w:bCs/>
          <w:sz w:val="24"/>
          <w:szCs w:val="24"/>
        </w:rPr>
        <w:t>to</w:t>
      </w:r>
      <w:r w:rsidR="00FC765F">
        <w:rPr>
          <w:rFonts w:ascii="Arial Narrow" w:hAnsi="Arial Narrow" w:cs="Arial"/>
          <w:b/>
          <w:bCs/>
          <w:sz w:val="24"/>
          <w:szCs w:val="24"/>
        </w:rPr>
        <w:t xml:space="preserve"> 30/10/2024</w:t>
      </w:r>
      <w:r w:rsidRPr="0004585D">
        <w:rPr>
          <w:rFonts w:ascii="Arial Narrow" w:hAnsi="Arial Narrow" w:cs="Arial"/>
          <w:b/>
          <w:bCs/>
          <w:sz w:val="24"/>
          <w:szCs w:val="24"/>
        </w:rPr>
        <w:t xml:space="preserve"> </w:t>
      </w:r>
    </w:p>
    <w:p w:rsidR="00A029F1" w:rsidRPr="007B1AFF" w:rsidRDefault="00A029F1" w:rsidP="00A029F1">
      <w:pPr>
        <w:spacing w:after="0" w:line="240" w:lineRule="auto"/>
        <w:ind w:left="360"/>
        <w:jc w:val="both"/>
        <w:rPr>
          <w:rFonts w:ascii="Arial Narrow" w:hAnsi="Arial Narrow" w:cs="Arial"/>
          <w:sz w:val="24"/>
          <w:szCs w:val="24"/>
        </w:rPr>
      </w:pPr>
      <w:r w:rsidRPr="007B1AFF">
        <w:rPr>
          <w:rFonts w:ascii="Arial Narrow" w:hAnsi="Arial Narrow" w:cs="Arial"/>
          <w:sz w:val="24"/>
          <w:szCs w:val="24"/>
        </w:rPr>
        <w:t xml:space="preserve">    </w:t>
      </w:r>
      <w:r>
        <w:rPr>
          <w:rFonts w:ascii="Arial Narrow" w:hAnsi="Arial Narrow" w:cs="Arial"/>
          <w:sz w:val="24"/>
          <w:szCs w:val="24"/>
        </w:rPr>
        <w:t xml:space="preserve">                                                         </w:t>
      </w:r>
      <w:r w:rsidR="00FC765F">
        <w:rPr>
          <w:rFonts w:ascii="Arial Narrow" w:hAnsi="Arial Narrow" w:cs="Arial"/>
          <w:sz w:val="24"/>
          <w:szCs w:val="24"/>
        </w:rPr>
        <w:t xml:space="preserve">   </w:t>
      </w:r>
      <w:proofErr w:type="gramStart"/>
      <w:r w:rsidR="00FC765F">
        <w:rPr>
          <w:rFonts w:ascii="Arial Narrow" w:hAnsi="Arial Narrow" w:cs="Arial"/>
          <w:sz w:val="24"/>
          <w:szCs w:val="24"/>
        </w:rPr>
        <w:t>excluding</w:t>
      </w:r>
      <w:proofErr w:type="gramEnd"/>
      <w:r w:rsidR="00FC765F">
        <w:rPr>
          <w:rFonts w:ascii="Arial Narrow" w:hAnsi="Arial Narrow" w:cs="Arial"/>
          <w:sz w:val="24"/>
          <w:szCs w:val="24"/>
        </w:rPr>
        <w:t xml:space="preserve"> Saturdays, </w:t>
      </w:r>
      <w:r w:rsidRPr="007B1AFF">
        <w:rPr>
          <w:rFonts w:ascii="Arial Narrow" w:hAnsi="Arial Narrow" w:cs="Arial"/>
          <w:sz w:val="24"/>
          <w:szCs w:val="24"/>
        </w:rPr>
        <w:t>Sundays &amp;  Holidays.</w:t>
      </w:r>
    </w:p>
    <w:p w:rsidR="00A029F1" w:rsidRPr="007B1AFF" w:rsidRDefault="00A029F1" w:rsidP="00A029F1">
      <w:pPr>
        <w:spacing w:after="0" w:line="240" w:lineRule="auto"/>
        <w:jc w:val="both"/>
        <w:rPr>
          <w:rFonts w:ascii="Arial Narrow" w:hAnsi="Arial Narrow" w:cs="Arial"/>
          <w:sz w:val="24"/>
          <w:szCs w:val="24"/>
        </w:rPr>
      </w:pPr>
    </w:p>
    <w:p w:rsidR="00A029F1" w:rsidRPr="007B1AFF" w:rsidRDefault="00A029F1" w:rsidP="00A029F1">
      <w:pPr>
        <w:numPr>
          <w:ilvl w:val="0"/>
          <w:numId w:val="2"/>
        </w:numPr>
        <w:spacing w:after="0" w:line="240" w:lineRule="auto"/>
        <w:jc w:val="both"/>
        <w:rPr>
          <w:rFonts w:ascii="Arial Narrow" w:hAnsi="Arial Narrow" w:cs="Arial"/>
          <w:sz w:val="24"/>
          <w:szCs w:val="24"/>
        </w:rPr>
      </w:pPr>
      <w:r w:rsidRPr="007B1AFF">
        <w:rPr>
          <w:rFonts w:ascii="Arial Narrow" w:hAnsi="Arial Narrow" w:cs="Arial"/>
          <w:bCs/>
          <w:sz w:val="24"/>
          <w:szCs w:val="24"/>
        </w:rPr>
        <w:t xml:space="preserve">Date of submission of Tender   </w:t>
      </w:r>
      <w:r>
        <w:rPr>
          <w:rFonts w:ascii="Arial Narrow" w:hAnsi="Arial Narrow" w:cs="Arial"/>
          <w:bCs/>
          <w:sz w:val="24"/>
          <w:szCs w:val="24"/>
        </w:rPr>
        <w:t xml:space="preserve">     :</w:t>
      </w:r>
      <w:r w:rsidR="00FC765F">
        <w:rPr>
          <w:rFonts w:ascii="Arial Narrow" w:hAnsi="Arial Narrow" w:cs="Arial"/>
          <w:bCs/>
          <w:sz w:val="24"/>
          <w:szCs w:val="24"/>
        </w:rPr>
        <w:t xml:space="preserve"> 30/10/2024</w:t>
      </w:r>
      <w:r>
        <w:rPr>
          <w:rFonts w:ascii="Arial Narrow" w:hAnsi="Arial Narrow" w:cs="Arial"/>
          <w:bCs/>
          <w:sz w:val="24"/>
          <w:szCs w:val="24"/>
        </w:rPr>
        <w:t xml:space="preserve"> </w:t>
      </w:r>
      <w:r w:rsidRPr="007B1AFF">
        <w:rPr>
          <w:rFonts w:ascii="Arial Narrow" w:hAnsi="Arial Narrow" w:cs="Arial"/>
          <w:bCs/>
          <w:sz w:val="24"/>
          <w:szCs w:val="24"/>
        </w:rPr>
        <w:t xml:space="preserve">on or before </w:t>
      </w:r>
      <w:r w:rsidRPr="007B1AFF">
        <w:rPr>
          <w:rFonts w:ascii="Arial Narrow" w:hAnsi="Arial Narrow" w:cs="Arial"/>
          <w:sz w:val="24"/>
          <w:szCs w:val="24"/>
        </w:rPr>
        <w:t>up</w:t>
      </w:r>
      <w:r>
        <w:rPr>
          <w:rFonts w:ascii="Arial Narrow" w:hAnsi="Arial Narrow" w:cs="Arial"/>
          <w:sz w:val="24"/>
          <w:szCs w:val="24"/>
        </w:rPr>
        <w:t xml:space="preserve"> </w:t>
      </w:r>
      <w:r w:rsidRPr="007B1AFF">
        <w:rPr>
          <w:rFonts w:ascii="Arial Narrow" w:hAnsi="Arial Narrow" w:cs="Arial"/>
          <w:sz w:val="24"/>
          <w:szCs w:val="24"/>
        </w:rPr>
        <w:t>to</w:t>
      </w:r>
      <w:r w:rsidR="00FC765F">
        <w:rPr>
          <w:rFonts w:ascii="Arial Narrow" w:hAnsi="Arial Narrow" w:cs="Arial"/>
          <w:sz w:val="24"/>
          <w:szCs w:val="24"/>
        </w:rPr>
        <w:t xml:space="preserve"> 02:30 PM </w:t>
      </w:r>
    </w:p>
    <w:p w:rsidR="00A029F1" w:rsidRPr="007B1AFF" w:rsidRDefault="00A029F1" w:rsidP="00A029F1">
      <w:pPr>
        <w:spacing w:after="0" w:line="240" w:lineRule="auto"/>
        <w:ind w:left="360"/>
        <w:jc w:val="both"/>
        <w:rPr>
          <w:rFonts w:ascii="Arial Narrow" w:hAnsi="Arial Narrow" w:cs="Arial"/>
          <w:sz w:val="24"/>
          <w:szCs w:val="24"/>
        </w:rPr>
      </w:pPr>
    </w:p>
    <w:p w:rsidR="00A029F1" w:rsidRPr="007B1AFF" w:rsidRDefault="00A029F1" w:rsidP="00A029F1">
      <w:pPr>
        <w:numPr>
          <w:ilvl w:val="0"/>
          <w:numId w:val="2"/>
        </w:numPr>
        <w:spacing w:after="0" w:line="240" w:lineRule="auto"/>
        <w:jc w:val="both"/>
        <w:rPr>
          <w:rFonts w:ascii="Arial Narrow" w:hAnsi="Arial Narrow" w:cs="Arial"/>
          <w:sz w:val="24"/>
          <w:szCs w:val="24"/>
        </w:rPr>
      </w:pPr>
      <w:r w:rsidRPr="007B1AFF">
        <w:rPr>
          <w:rFonts w:ascii="Arial Narrow" w:hAnsi="Arial Narrow" w:cs="Arial"/>
          <w:sz w:val="24"/>
          <w:szCs w:val="24"/>
        </w:rPr>
        <w:t xml:space="preserve">Tender to be submitted to </w:t>
      </w:r>
      <w:r>
        <w:rPr>
          <w:rFonts w:ascii="Arial Narrow" w:hAnsi="Arial Narrow" w:cs="Arial"/>
          <w:sz w:val="24"/>
          <w:szCs w:val="24"/>
        </w:rPr>
        <w:t xml:space="preserve">            </w:t>
      </w:r>
      <w:r w:rsidRPr="007B1AFF">
        <w:rPr>
          <w:rFonts w:ascii="Arial Narrow" w:hAnsi="Arial Narrow" w:cs="Arial"/>
          <w:sz w:val="24"/>
          <w:szCs w:val="24"/>
        </w:rPr>
        <w:t>:</w:t>
      </w:r>
      <w:r w:rsidR="00334207">
        <w:rPr>
          <w:rFonts w:ascii="Arial Narrow" w:hAnsi="Arial Narrow" w:cs="Arial"/>
          <w:sz w:val="24"/>
          <w:szCs w:val="24"/>
        </w:rPr>
        <w:t xml:space="preserve">  Maintenance &amp; Verification Cell</w:t>
      </w:r>
    </w:p>
    <w:p w:rsidR="00A029F1" w:rsidRPr="007B1AFF" w:rsidRDefault="00A029F1" w:rsidP="00A029F1">
      <w:pPr>
        <w:spacing w:after="0" w:line="240" w:lineRule="auto"/>
        <w:ind w:left="720"/>
        <w:jc w:val="both"/>
        <w:rPr>
          <w:rFonts w:ascii="Arial Narrow" w:hAnsi="Arial Narrow" w:cs="Arial"/>
          <w:sz w:val="24"/>
          <w:szCs w:val="24"/>
        </w:rPr>
      </w:pPr>
      <w:r w:rsidRPr="007B1AFF">
        <w:rPr>
          <w:rFonts w:ascii="Arial Narrow" w:hAnsi="Arial Narrow" w:cs="Arial"/>
          <w:sz w:val="24"/>
          <w:szCs w:val="24"/>
        </w:rPr>
        <w:t xml:space="preserve">         </w:t>
      </w:r>
    </w:p>
    <w:p w:rsidR="00A029F1" w:rsidRPr="007B1AFF" w:rsidRDefault="00A029F1" w:rsidP="00A029F1">
      <w:pPr>
        <w:spacing w:after="0" w:line="240" w:lineRule="auto"/>
        <w:ind w:left="3600"/>
        <w:jc w:val="both"/>
        <w:rPr>
          <w:rFonts w:ascii="Arial Narrow" w:hAnsi="Arial Narrow" w:cs="Arial"/>
          <w:sz w:val="24"/>
          <w:szCs w:val="24"/>
        </w:rPr>
      </w:pPr>
    </w:p>
    <w:p w:rsidR="00A029F1" w:rsidRDefault="00A029F1" w:rsidP="00A029F1">
      <w:pPr>
        <w:numPr>
          <w:ilvl w:val="0"/>
          <w:numId w:val="2"/>
        </w:numPr>
        <w:spacing w:after="0" w:line="240" w:lineRule="auto"/>
        <w:jc w:val="both"/>
        <w:rPr>
          <w:rFonts w:ascii="Arial Narrow" w:hAnsi="Arial Narrow" w:cs="Arial"/>
          <w:sz w:val="24"/>
          <w:szCs w:val="24"/>
        </w:rPr>
      </w:pPr>
      <w:r w:rsidRPr="00C04775">
        <w:rPr>
          <w:rFonts w:ascii="Arial Narrow" w:hAnsi="Arial Narrow" w:cs="Arial"/>
          <w:sz w:val="24"/>
          <w:szCs w:val="24"/>
        </w:rPr>
        <w:t xml:space="preserve"> Date of Tender Opening </w:t>
      </w:r>
    </w:p>
    <w:p w:rsidR="00A029F1" w:rsidRPr="004705CF" w:rsidRDefault="00A029F1" w:rsidP="00A029F1">
      <w:pPr>
        <w:spacing w:after="0" w:line="240" w:lineRule="auto"/>
        <w:jc w:val="both"/>
        <w:rPr>
          <w:rFonts w:ascii="Arial Narrow" w:hAnsi="Arial Narrow" w:cs="Arial"/>
          <w:b/>
          <w:sz w:val="24"/>
          <w:szCs w:val="24"/>
        </w:rPr>
      </w:pPr>
      <w:r>
        <w:rPr>
          <w:rFonts w:ascii="Arial Narrow" w:hAnsi="Arial Narrow" w:cs="Arial"/>
          <w:b/>
          <w:sz w:val="24"/>
          <w:szCs w:val="24"/>
        </w:rPr>
        <w:t xml:space="preserve">             </w:t>
      </w:r>
      <w:r w:rsidRPr="00C04775">
        <w:rPr>
          <w:rFonts w:ascii="Arial Narrow" w:hAnsi="Arial Narrow" w:cs="Arial"/>
          <w:b/>
          <w:sz w:val="24"/>
          <w:szCs w:val="24"/>
        </w:rPr>
        <w:t xml:space="preserve">(Technical Bid) </w:t>
      </w:r>
      <w:r w:rsidRPr="00C04775">
        <w:rPr>
          <w:rFonts w:ascii="Arial Narrow" w:hAnsi="Arial Narrow" w:cs="Arial"/>
          <w:b/>
        </w:rPr>
        <w:t>Part ‘A’</w:t>
      </w:r>
      <w:r w:rsidRPr="00C04775">
        <w:rPr>
          <w:rFonts w:ascii="Arial Narrow" w:hAnsi="Arial Narrow" w:cs="Arial"/>
          <w:b/>
          <w:sz w:val="24"/>
          <w:szCs w:val="24"/>
        </w:rPr>
        <w:t xml:space="preserve">   </w:t>
      </w:r>
      <w:r w:rsidRPr="00C04775">
        <w:rPr>
          <w:rFonts w:ascii="Arial Narrow" w:hAnsi="Arial Narrow" w:cs="Arial"/>
          <w:sz w:val="24"/>
          <w:szCs w:val="24"/>
        </w:rPr>
        <w:t xml:space="preserve">             :</w:t>
      </w:r>
      <w:r>
        <w:rPr>
          <w:rFonts w:ascii="Arial Narrow" w:hAnsi="Arial Narrow" w:cs="Arial"/>
          <w:sz w:val="24"/>
          <w:szCs w:val="24"/>
        </w:rPr>
        <w:t xml:space="preserve"> </w:t>
      </w:r>
      <w:r w:rsidR="00A144F9">
        <w:rPr>
          <w:rFonts w:ascii="Arial Narrow" w:hAnsi="Arial Narrow" w:cs="Arial"/>
          <w:b/>
          <w:sz w:val="24"/>
          <w:szCs w:val="24"/>
        </w:rPr>
        <w:t>on</w:t>
      </w:r>
      <w:r w:rsidR="00FC765F">
        <w:rPr>
          <w:rFonts w:ascii="Arial Narrow" w:hAnsi="Arial Narrow" w:cs="Arial"/>
          <w:b/>
          <w:sz w:val="24"/>
          <w:szCs w:val="24"/>
        </w:rPr>
        <w:t xml:space="preserve"> </w:t>
      </w:r>
      <w:r w:rsidR="00FC765F" w:rsidRPr="00E07B88">
        <w:rPr>
          <w:rFonts w:ascii="Arial Narrow" w:hAnsi="Arial Narrow" w:cs="Arial"/>
          <w:b/>
          <w:sz w:val="24"/>
          <w:szCs w:val="24"/>
        </w:rPr>
        <w:t>30/10/2024</w:t>
      </w:r>
      <w:r w:rsidR="00FC765F">
        <w:rPr>
          <w:rFonts w:ascii="Arial Narrow" w:hAnsi="Arial Narrow" w:cs="Arial"/>
          <w:sz w:val="24"/>
          <w:szCs w:val="24"/>
        </w:rPr>
        <w:t xml:space="preserve"> </w:t>
      </w:r>
      <w:r w:rsidR="00072B87">
        <w:rPr>
          <w:rFonts w:ascii="Arial Narrow" w:hAnsi="Arial Narrow" w:cs="Arial"/>
          <w:b/>
          <w:sz w:val="24"/>
          <w:szCs w:val="24"/>
        </w:rPr>
        <w:t>at</w:t>
      </w:r>
      <w:r w:rsidR="00E07B88">
        <w:rPr>
          <w:rFonts w:ascii="Arial Narrow" w:hAnsi="Arial Narrow" w:cs="Arial"/>
          <w:b/>
          <w:sz w:val="24"/>
          <w:szCs w:val="24"/>
        </w:rPr>
        <w:t xml:space="preserve"> </w:t>
      </w:r>
      <w:r w:rsidR="00FC765F">
        <w:rPr>
          <w:rFonts w:ascii="Arial Narrow" w:hAnsi="Arial Narrow" w:cs="Arial"/>
          <w:b/>
          <w:sz w:val="24"/>
          <w:szCs w:val="24"/>
        </w:rPr>
        <w:t>03:30 PM</w:t>
      </w:r>
      <w:r w:rsidR="00072B87">
        <w:rPr>
          <w:rFonts w:ascii="Arial Narrow" w:hAnsi="Arial Narrow" w:cs="Arial"/>
          <w:b/>
          <w:sz w:val="24"/>
          <w:szCs w:val="24"/>
        </w:rPr>
        <w:t xml:space="preserve"> </w:t>
      </w:r>
      <w:r w:rsidR="00C76DC4">
        <w:rPr>
          <w:rFonts w:ascii="Arial Narrow" w:hAnsi="Arial Narrow" w:cs="Arial"/>
          <w:sz w:val="24"/>
          <w:szCs w:val="24"/>
        </w:rPr>
        <w:t xml:space="preserve"> </w:t>
      </w:r>
    </w:p>
    <w:p w:rsidR="00A029F1" w:rsidRPr="007B1AFF" w:rsidRDefault="00A029F1" w:rsidP="00A029F1">
      <w:pPr>
        <w:spacing w:after="0" w:line="240" w:lineRule="auto"/>
        <w:ind w:left="720"/>
        <w:jc w:val="both"/>
        <w:rPr>
          <w:rFonts w:ascii="Arial Narrow" w:hAnsi="Arial Narrow" w:cs="Arial"/>
          <w:sz w:val="24"/>
          <w:szCs w:val="24"/>
        </w:rPr>
      </w:pPr>
    </w:p>
    <w:p w:rsidR="00A029F1" w:rsidRPr="007B1AFF" w:rsidRDefault="00A029F1" w:rsidP="00A029F1">
      <w:pPr>
        <w:spacing w:after="0" w:line="240" w:lineRule="auto"/>
        <w:jc w:val="both"/>
        <w:rPr>
          <w:rFonts w:ascii="Arial Narrow" w:hAnsi="Arial Narrow" w:cs="Arial"/>
          <w:sz w:val="24"/>
          <w:szCs w:val="24"/>
        </w:rPr>
      </w:pPr>
    </w:p>
    <w:p w:rsidR="00A029F1" w:rsidRPr="007B1AFF" w:rsidRDefault="00CC6231" w:rsidP="00A029F1">
      <w:pPr>
        <w:numPr>
          <w:ilvl w:val="0"/>
          <w:numId w:val="2"/>
        </w:numPr>
        <w:spacing w:after="0" w:line="240" w:lineRule="auto"/>
        <w:jc w:val="both"/>
        <w:rPr>
          <w:rFonts w:ascii="Arial Narrow" w:hAnsi="Arial Narrow" w:cs="Arial"/>
          <w:sz w:val="24"/>
          <w:szCs w:val="24"/>
        </w:rPr>
      </w:pPr>
      <w:r>
        <w:rPr>
          <w:rFonts w:ascii="Arial Narrow" w:hAnsi="Arial Narrow" w:cs="Arial"/>
          <w:sz w:val="24"/>
          <w:szCs w:val="24"/>
        </w:rPr>
        <w:t>Validity  of  Bid</w:t>
      </w:r>
      <w:r w:rsidR="00A029F1" w:rsidRPr="007B1AFF">
        <w:rPr>
          <w:rFonts w:ascii="Arial Narrow" w:hAnsi="Arial Narrow" w:cs="Arial"/>
          <w:sz w:val="24"/>
          <w:szCs w:val="24"/>
        </w:rPr>
        <w:tab/>
        <w:t xml:space="preserve">                :</w:t>
      </w:r>
      <w:r w:rsidR="00A029F1">
        <w:rPr>
          <w:rFonts w:ascii="Arial Narrow" w:hAnsi="Arial Narrow" w:cs="Arial"/>
          <w:sz w:val="24"/>
          <w:szCs w:val="24"/>
        </w:rPr>
        <w:t xml:space="preserve"> </w:t>
      </w:r>
      <w:r w:rsidR="00334207">
        <w:rPr>
          <w:rFonts w:ascii="Arial Narrow" w:hAnsi="Arial Narrow" w:cs="Arial"/>
          <w:sz w:val="24"/>
          <w:szCs w:val="24"/>
        </w:rPr>
        <w:t>120</w:t>
      </w:r>
      <w:r w:rsidR="00A029F1" w:rsidRPr="007B1AFF">
        <w:rPr>
          <w:rFonts w:ascii="Arial Narrow" w:hAnsi="Arial Narrow" w:cs="Arial"/>
          <w:sz w:val="24"/>
          <w:szCs w:val="24"/>
        </w:rPr>
        <w:t xml:space="preserve"> Days     </w:t>
      </w:r>
    </w:p>
    <w:p w:rsidR="00A029F1" w:rsidRDefault="00A029F1" w:rsidP="00A029F1">
      <w:pPr>
        <w:spacing w:after="0" w:line="240" w:lineRule="auto"/>
        <w:jc w:val="both"/>
        <w:rPr>
          <w:rFonts w:ascii="Arial Narrow" w:hAnsi="Arial Narrow" w:cs="Arial"/>
          <w:sz w:val="24"/>
          <w:szCs w:val="24"/>
        </w:rPr>
      </w:pPr>
    </w:p>
    <w:p w:rsidR="00A029F1" w:rsidRPr="007B1AFF" w:rsidRDefault="00A029F1" w:rsidP="00A029F1">
      <w:pPr>
        <w:spacing w:after="0" w:line="240" w:lineRule="auto"/>
        <w:jc w:val="both"/>
        <w:rPr>
          <w:rFonts w:ascii="Arial Narrow" w:hAnsi="Arial Narrow" w:cs="Arial"/>
          <w:sz w:val="24"/>
          <w:szCs w:val="24"/>
        </w:rPr>
      </w:pPr>
    </w:p>
    <w:p w:rsidR="00A029F1" w:rsidRDefault="00A029F1" w:rsidP="00A029F1">
      <w:pPr>
        <w:spacing w:after="0" w:line="240" w:lineRule="auto"/>
        <w:jc w:val="both"/>
        <w:rPr>
          <w:rFonts w:ascii="Arial Narrow" w:hAnsi="Arial Narrow" w:cs="Arial"/>
          <w:sz w:val="24"/>
          <w:szCs w:val="24"/>
        </w:rPr>
      </w:pPr>
      <w:r w:rsidRPr="007B1AFF">
        <w:rPr>
          <w:rFonts w:ascii="Arial Narrow" w:hAnsi="Arial Narrow" w:cs="Arial"/>
          <w:sz w:val="24"/>
          <w:szCs w:val="24"/>
        </w:rPr>
        <w:t xml:space="preserve">Tender documents </w:t>
      </w:r>
      <w:r>
        <w:rPr>
          <w:rFonts w:ascii="Arial Narrow" w:hAnsi="Arial Narrow" w:cs="Arial"/>
          <w:sz w:val="24"/>
          <w:szCs w:val="24"/>
        </w:rPr>
        <w:t xml:space="preserve">containing all the details can be obtained from the office of </w:t>
      </w:r>
      <w:r w:rsidR="00072B87">
        <w:rPr>
          <w:rFonts w:ascii="Arial Narrow" w:hAnsi="Arial Narrow" w:cs="Arial"/>
          <w:sz w:val="24"/>
          <w:szCs w:val="24"/>
        </w:rPr>
        <w:t>Maintenance &amp; Verification Cell</w:t>
      </w:r>
      <w:r>
        <w:rPr>
          <w:rFonts w:ascii="Arial Narrow" w:hAnsi="Arial Narrow" w:cs="Arial"/>
          <w:sz w:val="24"/>
          <w:szCs w:val="24"/>
        </w:rPr>
        <w:t>, 1</w:t>
      </w:r>
      <w:r w:rsidRPr="00AB531D">
        <w:rPr>
          <w:rFonts w:ascii="Arial Narrow" w:hAnsi="Arial Narrow" w:cs="Arial"/>
          <w:sz w:val="24"/>
          <w:szCs w:val="24"/>
          <w:vertAlign w:val="superscript"/>
        </w:rPr>
        <w:t>st</w:t>
      </w:r>
      <w:r w:rsidR="00680D2E">
        <w:rPr>
          <w:rFonts w:ascii="Arial Narrow" w:hAnsi="Arial Narrow" w:cs="Arial"/>
          <w:sz w:val="24"/>
          <w:szCs w:val="24"/>
        </w:rPr>
        <w:t xml:space="preserve"> Floor, </w:t>
      </w:r>
      <w:r>
        <w:rPr>
          <w:rFonts w:ascii="Arial Narrow" w:hAnsi="Arial Narrow" w:cs="Arial"/>
          <w:sz w:val="24"/>
          <w:szCs w:val="24"/>
        </w:rPr>
        <w:t>Main Bldg., Tata Memorial Hospital, Parel- 400 012</w:t>
      </w:r>
      <w:r w:rsidRPr="007B1AFF">
        <w:rPr>
          <w:rFonts w:ascii="Arial Narrow" w:hAnsi="Arial Narrow" w:cs="Arial"/>
          <w:sz w:val="24"/>
          <w:szCs w:val="24"/>
        </w:rPr>
        <w:t xml:space="preserve"> on </w:t>
      </w:r>
      <w:r>
        <w:rPr>
          <w:rFonts w:ascii="Arial Narrow" w:hAnsi="Arial Narrow" w:cs="Arial"/>
          <w:sz w:val="24"/>
          <w:szCs w:val="24"/>
        </w:rPr>
        <w:t xml:space="preserve">all working </w:t>
      </w:r>
      <w:r w:rsidRPr="007B1AFF">
        <w:rPr>
          <w:rFonts w:ascii="Arial Narrow" w:hAnsi="Arial Narrow" w:cs="Arial"/>
          <w:sz w:val="24"/>
          <w:szCs w:val="24"/>
        </w:rPr>
        <w:t>day</w:t>
      </w:r>
      <w:r>
        <w:rPr>
          <w:rFonts w:ascii="Arial Narrow" w:hAnsi="Arial Narrow" w:cs="Arial"/>
          <w:sz w:val="24"/>
          <w:szCs w:val="24"/>
        </w:rPr>
        <w:t>s from Monday to Friday between 10.00 a.m. to 03.00 p.m.</w:t>
      </w:r>
      <w:r w:rsidRPr="009D54DA">
        <w:rPr>
          <w:rFonts w:ascii="Arial Narrow" w:hAnsi="Arial Narrow" w:cs="Arial"/>
          <w:sz w:val="24"/>
          <w:szCs w:val="24"/>
        </w:rPr>
        <w:t xml:space="preserve"> </w:t>
      </w:r>
      <w:r>
        <w:rPr>
          <w:rFonts w:ascii="Arial Narrow" w:hAnsi="Arial Narrow" w:cs="Arial"/>
          <w:sz w:val="24"/>
          <w:szCs w:val="24"/>
        </w:rPr>
        <w:t>except Saturday, Sunday &amp; Holidays</w:t>
      </w:r>
      <w:r w:rsidRPr="007B1AFF">
        <w:rPr>
          <w:rFonts w:ascii="Arial Narrow" w:hAnsi="Arial Narrow" w:cs="Arial"/>
          <w:sz w:val="24"/>
          <w:szCs w:val="24"/>
        </w:rPr>
        <w:t xml:space="preserve"> on the </w:t>
      </w:r>
      <w:r>
        <w:rPr>
          <w:rFonts w:ascii="Arial Narrow" w:hAnsi="Arial Narrow" w:cs="Arial"/>
          <w:sz w:val="24"/>
          <w:szCs w:val="24"/>
        </w:rPr>
        <w:t>payment of Rs.500/</w:t>
      </w:r>
      <w:proofErr w:type="gramStart"/>
      <w:r>
        <w:rPr>
          <w:rFonts w:ascii="Arial Narrow" w:hAnsi="Arial Narrow" w:cs="Arial"/>
          <w:sz w:val="24"/>
          <w:szCs w:val="24"/>
        </w:rPr>
        <w:t>-  (</w:t>
      </w:r>
      <w:proofErr w:type="gramEnd"/>
      <w:r>
        <w:rPr>
          <w:rFonts w:ascii="Arial Narrow" w:hAnsi="Arial Narrow" w:cs="Arial"/>
          <w:sz w:val="24"/>
          <w:szCs w:val="24"/>
        </w:rPr>
        <w:t>Rupees Five Hundred Only)   by Cash (non refundable)  at our Cash Counter  at  1</w:t>
      </w:r>
      <w:r w:rsidRPr="00AB531D">
        <w:rPr>
          <w:rFonts w:ascii="Arial Narrow" w:hAnsi="Arial Narrow" w:cs="Arial"/>
          <w:sz w:val="24"/>
          <w:szCs w:val="24"/>
          <w:vertAlign w:val="superscript"/>
        </w:rPr>
        <w:t>st</w:t>
      </w:r>
      <w:r>
        <w:rPr>
          <w:rFonts w:ascii="Arial Narrow" w:hAnsi="Arial Narrow" w:cs="Arial"/>
          <w:sz w:val="24"/>
          <w:szCs w:val="24"/>
        </w:rPr>
        <w:t xml:space="preserve"> floor, </w:t>
      </w:r>
      <w:proofErr w:type="spellStart"/>
      <w:r>
        <w:rPr>
          <w:rFonts w:ascii="Arial Narrow" w:hAnsi="Arial Narrow" w:cs="Arial"/>
          <w:sz w:val="24"/>
          <w:szCs w:val="24"/>
        </w:rPr>
        <w:t>Homi</w:t>
      </w:r>
      <w:proofErr w:type="spellEnd"/>
      <w:r>
        <w:rPr>
          <w:rFonts w:ascii="Arial Narrow" w:hAnsi="Arial Narrow" w:cs="Arial"/>
          <w:sz w:val="24"/>
          <w:szCs w:val="24"/>
        </w:rPr>
        <w:t xml:space="preserve"> </w:t>
      </w:r>
      <w:proofErr w:type="spellStart"/>
      <w:r>
        <w:rPr>
          <w:rFonts w:ascii="Arial Narrow" w:hAnsi="Arial Narrow" w:cs="Arial"/>
          <w:sz w:val="24"/>
          <w:szCs w:val="24"/>
        </w:rPr>
        <w:t>Bhabha</w:t>
      </w:r>
      <w:proofErr w:type="spellEnd"/>
      <w:r>
        <w:rPr>
          <w:rFonts w:ascii="Arial Narrow" w:hAnsi="Arial Narrow" w:cs="Arial"/>
          <w:sz w:val="24"/>
          <w:szCs w:val="24"/>
        </w:rPr>
        <w:t xml:space="preserve"> Block Bldg. Also tender document downloaded from website has to pay Rs. 500/- (Rupees Five Hundred Only) in cash.   Cash Receipt need to be produced to </w:t>
      </w:r>
      <w:r w:rsidR="001A1CF6">
        <w:rPr>
          <w:rFonts w:ascii="Arial Narrow" w:hAnsi="Arial Narrow" w:cs="Arial"/>
          <w:sz w:val="24"/>
          <w:szCs w:val="24"/>
        </w:rPr>
        <w:t>Maintenance &amp; Verification Cell</w:t>
      </w:r>
      <w:r>
        <w:rPr>
          <w:rFonts w:ascii="Arial Narrow" w:hAnsi="Arial Narrow" w:cs="Arial"/>
          <w:sz w:val="24"/>
          <w:szCs w:val="24"/>
        </w:rPr>
        <w:t xml:space="preserve"> for obtai</w:t>
      </w:r>
      <w:r w:rsidR="00680D2E">
        <w:rPr>
          <w:rFonts w:ascii="Arial Narrow" w:hAnsi="Arial Narrow" w:cs="Arial"/>
          <w:sz w:val="24"/>
          <w:szCs w:val="24"/>
        </w:rPr>
        <w:t xml:space="preserve">ning tender documents. </w:t>
      </w:r>
      <w:proofErr w:type="gramStart"/>
      <w:r w:rsidR="00680D2E">
        <w:rPr>
          <w:rFonts w:ascii="Arial Narrow" w:hAnsi="Arial Narrow" w:cs="Arial"/>
          <w:sz w:val="24"/>
          <w:szCs w:val="24"/>
        </w:rPr>
        <w:t xml:space="preserve">Whereas, </w:t>
      </w:r>
      <w:r>
        <w:rPr>
          <w:rFonts w:ascii="Arial Narrow" w:hAnsi="Arial Narrow" w:cs="Arial"/>
          <w:sz w:val="24"/>
          <w:szCs w:val="24"/>
        </w:rPr>
        <w:t>for download of tender document, cash receipt of Rs. 500/- is to be shown at the time of submitting tender.</w:t>
      </w:r>
      <w:proofErr w:type="gramEnd"/>
      <w:r>
        <w:rPr>
          <w:rFonts w:ascii="Arial Narrow" w:hAnsi="Arial Narrow" w:cs="Arial"/>
          <w:sz w:val="24"/>
          <w:szCs w:val="24"/>
        </w:rPr>
        <w:t xml:space="preserve"> </w:t>
      </w:r>
      <w:r w:rsidRPr="007B1AFF">
        <w:rPr>
          <w:rFonts w:ascii="Arial Narrow" w:hAnsi="Arial Narrow" w:cs="Arial"/>
          <w:sz w:val="24"/>
          <w:szCs w:val="24"/>
        </w:rPr>
        <w:t xml:space="preserve">In case the last date of sale and / or the date of receipt and opening of tender </w:t>
      </w:r>
      <w:proofErr w:type="gramStart"/>
      <w:r w:rsidRPr="007B1AFF">
        <w:rPr>
          <w:rFonts w:ascii="Arial Narrow" w:hAnsi="Arial Narrow" w:cs="Arial"/>
          <w:sz w:val="24"/>
          <w:szCs w:val="24"/>
        </w:rPr>
        <w:t>is</w:t>
      </w:r>
      <w:proofErr w:type="gramEnd"/>
      <w:r w:rsidRPr="007B1AFF">
        <w:rPr>
          <w:rFonts w:ascii="Arial Narrow" w:hAnsi="Arial Narrow" w:cs="Arial"/>
          <w:sz w:val="24"/>
          <w:szCs w:val="24"/>
        </w:rPr>
        <w:t xml:space="preserve"> declared as Holiday, the respective dates shall be treated as postponed to the next working day, correspondingly.</w:t>
      </w:r>
    </w:p>
    <w:p w:rsidR="00A029F1" w:rsidRPr="00515299" w:rsidRDefault="00A029F1" w:rsidP="00A029F1">
      <w:pPr>
        <w:spacing w:after="0" w:line="240" w:lineRule="auto"/>
        <w:ind w:firstLine="720"/>
        <w:jc w:val="right"/>
        <w:rPr>
          <w:rFonts w:ascii="Arial Narrow" w:hAnsi="Arial Narrow" w:cs="Arial"/>
          <w:bCs/>
          <w:sz w:val="24"/>
          <w:szCs w:val="24"/>
          <w:u w:val="single"/>
        </w:rPr>
      </w:pPr>
      <w:r w:rsidRPr="00515299">
        <w:rPr>
          <w:rFonts w:ascii="Arial Narrow" w:hAnsi="Arial Narrow" w:cs="Arial"/>
          <w:bCs/>
          <w:sz w:val="24"/>
          <w:szCs w:val="24"/>
          <w:u w:val="single"/>
        </w:rPr>
        <w:t>..1</w:t>
      </w:r>
    </w:p>
    <w:p w:rsidR="00E07B88" w:rsidRPr="00DC00F2" w:rsidRDefault="00E07B88" w:rsidP="00E07B88">
      <w:pPr>
        <w:tabs>
          <w:tab w:val="left" w:pos="2280"/>
          <w:tab w:val="left" w:pos="3360"/>
        </w:tabs>
        <w:spacing w:after="0" w:line="240" w:lineRule="auto"/>
        <w:jc w:val="center"/>
        <w:rPr>
          <w:rFonts w:ascii="Arial Narrow" w:hAnsi="Arial Narrow" w:cs="Arial"/>
          <w:b/>
          <w:color w:val="FF0000"/>
        </w:rPr>
      </w:pPr>
      <w:r w:rsidRPr="00DC00F2">
        <w:rPr>
          <w:rFonts w:ascii="Arial Narrow" w:hAnsi="Arial Narrow" w:cs="Arial"/>
          <w:b/>
        </w:rPr>
        <w:lastRenderedPageBreak/>
        <w:t>TATA MEMORIAL HOSPITAL</w:t>
      </w:r>
    </w:p>
    <w:p w:rsidR="00E07B88" w:rsidRPr="00DC00F2" w:rsidRDefault="00E07B88" w:rsidP="00E07B88">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DR. E. BORGES MARG.</w:t>
      </w:r>
    </w:p>
    <w:p w:rsidR="00E07B88" w:rsidRPr="00DC00F2" w:rsidRDefault="00E07B88" w:rsidP="00E07B88">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PAREL, MUMBAI - 400 012</w:t>
      </w:r>
    </w:p>
    <w:p w:rsidR="00E07B88" w:rsidRDefault="00E07B88" w:rsidP="00E07B88">
      <w:pPr>
        <w:spacing w:after="0" w:line="240" w:lineRule="auto"/>
        <w:jc w:val="center"/>
        <w:rPr>
          <w:rFonts w:cstheme="minorHAnsi"/>
          <w:b/>
          <w:sz w:val="20"/>
        </w:rPr>
      </w:pPr>
    </w:p>
    <w:p w:rsidR="00E07B88" w:rsidRPr="00E07B88" w:rsidRDefault="00E07B88" w:rsidP="00E07B88">
      <w:pPr>
        <w:spacing w:after="0" w:line="240" w:lineRule="auto"/>
        <w:jc w:val="center"/>
        <w:rPr>
          <w:rFonts w:ascii="Arial Narrow" w:hAnsi="Arial Narrow" w:cs="Arial"/>
          <w:sz w:val="24"/>
          <w:szCs w:val="24"/>
        </w:rPr>
      </w:pPr>
      <w:r w:rsidRPr="00E07B88">
        <w:rPr>
          <w:rFonts w:ascii="Arial Narrow" w:hAnsi="Arial Narrow" w:cs="Arial"/>
          <w:sz w:val="24"/>
          <w:szCs w:val="24"/>
        </w:rPr>
        <w:t>Notice Inviting Tender (NIT)</w:t>
      </w:r>
    </w:p>
    <w:p w:rsidR="00E07B88" w:rsidRPr="00E07B88" w:rsidRDefault="00E07B88" w:rsidP="00E07B88">
      <w:pPr>
        <w:spacing w:before="100" w:beforeAutospacing="1" w:after="100" w:afterAutospacing="1" w:line="240" w:lineRule="auto"/>
        <w:jc w:val="both"/>
        <w:rPr>
          <w:rFonts w:ascii="Arial Narrow" w:hAnsi="Arial Narrow" w:cs="Arial"/>
          <w:sz w:val="24"/>
          <w:szCs w:val="24"/>
        </w:rPr>
      </w:pPr>
      <w:r w:rsidRPr="00E07B88">
        <w:rPr>
          <w:rFonts w:ascii="Arial Narrow" w:hAnsi="Arial Narrow" w:cs="Arial"/>
          <w:sz w:val="24"/>
          <w:szCs w:val="24"/>
        </w:rPr>
        <w:t>Subject: Comprehensive Annual Maintenance Contract for Computers, Printers and Peripheral Devices.</w:t>
      </w:r>
    </w:p>
    <w:p w:rsidR="00E07B88" w:rsidRPr="00E07B88" w:rsidRDefault="00E07B88" w:rsidP="00E07B88">
      <w:pPr>
        <w:pStyle w:val="ListParagraph"/>
        <w:numPr>
          <w:ilvl w:val="0"/>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Introduction:</w:t>
      </w:r>
    </w:p>
    <w:p w:rsidR="00E07B88" w:rsidRPr="00E07B88" w:rsidRDefault="00E07B88" w:rsidP="00E07B88">
      <w:pPr>
        <w:pStyle w:val="ListParagraph"/>
        <w:spacing w:before="100" w:beforeAutospacing="1" w:after="100" w:afterAutospacing="1"/>
        <w:jc w:val="both"/>
        <w:rPr>
          <w:rFonts w:ascii="Arial Narrow" w:eastAsiaTheme="minorEastAsia" w:hAnsi="Arial Narrow" w:cs="Arial"/>
        </w:rPr>
      </w:pPr>
      <w:r w:rsidRPr="00E07B88">
        <w:rPr>
          <w:rFonts w:ascii="Arial Narrow" w:eastAsiaTheme="minorEastAsia" w:hAnsi="Arial Narrow" w:cs="Arial"/>
        </w:rPr>
        <w:t xml:space="preserve">Tata Memorial Hospital (TMH) is inviting tenders from reputed agencies to provide Comprehensive Annual Maintenance Contract (CAMC) services for computers, printers peripherals (Dot Matrix, Laser Jet, </w:t>
      </w:r>
      <w:proofErr w:type="spellStart"/>
      <w:r w:rsidRPr="00E07B88">
        <w:rPr>
          <w:rFonts w:ascii="Arial Narrow" w:eastAsiaTheme="minorEastAsia" w:hAnsi="Arial Narrow" w:cs="Arial"/>
        </w:rPr>
        <w:t>Deskjet</w:t>
      </w:r>
      <w:proofErr w:type="spellEnd"/>
      <w:r w:rsidRPr="00E07B88">
        <w:rPr>
          <w:rFonts w:ascii="Arial Narrow" w:eastAsiaTheme="minorEastAsia" w:hAnsi="Arial Narrow" w:cs="Arial"/>
        </w:rPr>
        <w:t xml:space="preserve">, Office jet &amp; </w:t>
      </w:r>
      <w:proofErr w:type="spellStart"/>
      <w:r w:rsidRPr="00E07B88">
        <w:rPr>
          <w:rFonts w:ascii="Arial Narrow" w:eastAsiaTheme="minorEastAsia" w:hAnsi="Arial Narrow" w:cs="Arial"/>
        </w:rPr>
        <w:t>Colour</w:t>
      </w:r>
      <w:proofErr w:type="spellEnd"/>
      <w:r w:rsidRPr="00E07B88">
        <w:rPr>
          <w:rFonts w:ascii="Arial Narrow" w:eastAsiaTheme="minorEastAsia" w:hAnsi="Arial Narrow" w:cs="Arial"/>
        </w:rPr>
        <w:t xml:space="preserve"> Laser jet). The scope of work includes maintenance, troubleshooting, repair, and replacement (with standby/permanent devices) for a period of two years.</w:t>
      </w:r>
    </w:p>
    <w:p w:rsidR="00E07B88" w:rsidRPr="00E07B88" w:rsidRDefault="00E07B88" w:rsidP="00E07B88">
      <w:pPr>
        <w:pStyle w:val="ListParagraph"/>
        <w:spacing w:before="100" w:beforeAutospacing="1" w:after="100" w:afterAutospacing="1"/>
        <w:jc w:val="both"/>
        <w:rPr>
          <w:rFonts w:ascii="Arial Narrow" w:eastAsiaTheme="minorEastAsia" w:hAnsi="Arial Narrow" w:cs="Arial"/>
        </w:rPr>
      </w:pPr>
    </w:p>
    <w:p w:rsidR="00E07B88" w:rsidRPr="00E07B88" w:rsidRDefault="00E07B88" w:rsidP="00E07B88">
      <w:pPr>
        <w:pStyle w:val="ListParagraph"/>
        <w:numPr>
          <w:ilvl w:val="0"/>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Scope of Work:</w:t>
      </w:r>
    </w:p>
    <w:p w:rsidR="00E07B88" w:rsidRPr="00E07B88" w:rsidRDefault="00E07B88" w:rsidP="00E07B88">
      <w:pPr>
        <w:pStyle w:val="ListParagraph"/>
        <w:numPr>
          <w:ilvl w:val="4"/>
          <w:numId w:val="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Facility Management for hardware viz. desktop computers, printers and peripheral devices should be comprehensive with24/7 on-site resident</w:t>
      </w:r>
      <w:r w:rsidR="009B152A">
        <w:rPr>
          <w:rFonts w:ascii="Arial Narrow" w:eastAsiaTheme="minorEastAsia" w:hAnsi="Arial Narrow" w:cs="Arial"/>
        </w:rPr>
        <w:t xml:space="preserve"> </w:t>
      </w:r>
      <w:r w:rsidRPr="00E07B88">
        <w:rPr>
          <w:rFonts w:ascii="Arial Narrow" w:eastAsiaTheme="minorEastAsia" w:hAnsi="Arial Narrow" w:cs="Arial"/>
        </w:rPr>
        <w:t xml:space="preserve">support. </w:t>
      </w:r>
    </w:p>
    <w:p w:rsidR="00E07B88" w:rsidRPr="00E07B88" w:rsidRDefault="00E07B88" w:rsidP="00E07B88">
      <w:pPr>
        <w:pStyle w:val="ListParagraph"/>
        <w:numPr>
          <w:ilvl w:val="4"/>
          <w:numId w:val="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Vendor shall quote fixed annual CAMC for all peripheral devices (PC’s and printers within TMH premises).</w:t>
      </w:r>
    </w:p>
    <w:p w:rsidR="00E07B88" w:rsidRPr="00E07B88" w:rsidRDefault="00E07B88" w:rsidP="00E07B88">
      <w:pPr>
        <w:pStyle w:val="ListParagraph"/>
        <w:numPr>
          <w:ilvl w:val="4"/>
          <w:numId w:val="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current count of PCs (including desktops and All-in-one PCs) and printers is provided in schedule of </w:t>
      </w:r>
      <w:proofErr w:type="gramStart"/>
      <w:r w:rsidRPr="00E07B88">
        <w:rPr>
          <w:rFonts w:ascii="Arial Narrow" w:eastAsiaTheme="minorEastAsia" w:hAnsi="Arial Narrow" w:cs="Arial"/>
        </w:rPr>
        <w:t>quantity(</w:t>
      </w:r>
      <w:proofErr w:type="gramEnd"/>
      <w:r w:rsidRPr="00E07B88">
        <w:rPr>
          <w:rFonts w:ascii="Arial Narrow" w:eastAsiaTheme="minorEastAsia" w:hAnsi="Arial Narrow" w:cs="Arial"/>
        </w:rPr>
        <w:t>SOQ) document attached. There could be a variation in this count during the duration of the contract, depending on addition or deletion of devices.</w:t>
      </w:r>
    </w:p>
    <w:p w:rsidR="00E07B88" w:rsidRPr="00E07B88" w:rsidRDefault="00E07B88" w:rsidP="00E07B88">
      <w:pPr>
        <w:pStyle w:val="ListParagraph"/>
        <w:numPr>
          <w:ilvl w:val="4"/>
          <w:numId w:val="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Any variation in the equipment, during the tenure of the contract the IT Department may choose to add a few devices (PCs, Printers etc...) to the CAMC or remove few devices from CAMC, as per requirement. The CAMC payment to vendor shall be made on a pro rata basis from the date the devices were added/ removed.</w:t>
      </w:r>
    </w:p>
    <w:p w:rsidR="00E07B88" w:rsidRPr="00E07B88" w:rsidRDefault="00E07B88" w:rsidP="00E07B88">
      <w:pPr>
        <w:pStyle w:val="ListParagraph"/>
        <w:numPr>
          <w:ilvl w:val="4"/>
          <w:numId w:val="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initial inventory count will be recorded at the time of contract. The quoted price will be valid for the initial inventory count for per PC and printers.</w:t>
      </w:r>
    </w:p>
    <w:p w:rsidR="00E07B88" w:rsidRPr="00E07B88" w:rsidRDefault="00E07B88" w:rsidP="00E07B88">
      <w:pPr>
        <w:spacing w:before="100" w:beforeAutospacing="1" w:after="100" w:afterAutospacing="1" w:line="240" w:lineRule="auto"/>
        <w:ind w:left="708"/>
        <w:jc w:val="both"/>
        <w:rPr>
          <w:rFonts w:ascii="Arial Narrow" w:hAnsi="Arial Narrow" w:cs="Arial"/>
          <w:sz w:val="24"/>
          <w:szCs w:val="24"/>
        </w:rPr>
      </w:pPr>
      <w:r w:rsidRPr="00E07B88">
        <w:rPr>
          <w:rFonts w:ascii="Arial Narrow" w:hAnsi="Arial Narrow" w:cs="Arial"/>
          <w:sz w:val="24"/>
          <w:szCs w:val="24"/>
        </w:rPr>
        <w:t>The selected agency shall be responsible for the following:</w:t>
      </w: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Maintenance and Troubleshooting:</w:t>
      </w:r>
    </w:p>
    <w:p w:rsidR="00E07B88" w:rsidRPr="00E07B88" w:rsidRDefault="00E07B88" w:rsidP="00E07B88">
      <w:pPr>
        <w:pStyle w:val="ListParagraph"/>
        <w:numPr>
          <w:ilvl w:val="4"/>
          <w:numId w:val="2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Maintain and troubleshoot for all PCs and Printers under the contract and apart from this L1 or first</w:t>
      </w:r>
      <w:r w:rsidR="009B152A">
        <w:rPr>
          <w:rFonts w:ascii="Arial Narrow" w:eastAsiaTheme="minorEastAsia" w:hAnsi="Arial Narrow" w:cs="Arial"/>
        </w:rPr>
        <w:t xml:space="preserve"> </w:t>
      </w:r>
      <w:r w:rsidRPr="00E07B88">
        <w:rPr>
          <w:rFonts w:ascii="Arial Narrow" w:eastAsiaTheme="minorEastAsia" w:hAnsi="Arial Narrow" w:cs="Arial"/>
        </w:rPr>
        <w:t>level support to other peripheral devices such as barcode readers, smart card readers, barcode printers, Token Printers,</w:t>
      </w:r>
      <w:r w:rsidR="009B152A">
        <w:rPr>
          <w:rFonts w:ascii="Arial Narrow" w:eastAsiaTheme="minorEastAsia" w:hAnsi="Arial Narrow" w:cs="Arial"/>
        </w:rPr>
        <w:t xml:space="preserve"> </w:t>
      </w:r>
      <w:r w:rsidRPr="00E07B88">
        <w:rPr>
          <w:rFonts w:ascii="Arial Narrow" w:eastAsiaTheme="minorEastAsia" w:hAnsi="Arial Narrow" w:cs="Arial"/>
        </w:rPr>
        <w:t>PCs and Printers under warranty period irrespective of the brand and specifications.</w:t>
      </w:r>
    </w:p>
    <w:p w:rsidR="00E07B88" w:rsidRPr="00E07B88" w:rsidRDefault="00E07B88" w:rsidP="00E07B88">
      <w:pPr>
        <w:pStyle w:val="ListParagraph"/>
        <w:numPr>
          <w:ilvl w:val="4"/>
          <w:numId w:val="2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L1 or first support for mentioned peripheral items includes basic troubleshooting and inability to resolve  the issue will not be consider as non-</w:t>
      </w:r>
      <w:proofErr w:type="spellStart"/>
      <w:r w:rsidRPr="00E07B88">
        <w:rPr>
          <w:rFonts w:ascii="Arial Narrow" w:eastAsiaTheme="minorEastAsia" w:hAnsi="Arial Narrow" w:cs="Arial"/>
        </w:rPr>
        <w:t>fulfilment</w:t>
      </w:r>
      <w:proofErr w:type="spellEnd"/>
      <w:r w:rsidRPr="00E07B88">
        <w:rPr>
          <w:rFonts w:ascii="Arial Narrow" w:eastAsiaTheme="minorEastAsia" w:hAnsi="Arial Narrow" w:cs="Arial"/>
        </w:rPr>
        <w:t xml:space="preserve"> of tender norms.</w:t>
      </w:r>
    </w:p>
    <w:p w:rsidR="00E07B88" w:rsidRPr="00E07B88" w:rsidRDefault="00E07B88" w:rsidP="00E07B88">
      <w:pPr>
        <w:pStyle w:val="ListParagraph"/>
        <w:numPr>
          <w:ilvl w:val="4"/>
          <w:numId w:val="2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Basic networking support including LAN port troubleshooting, Network Connectivity of both LAN and Wi-Fi and diagnosing network problems, LAN Cable Crimping, Configuring IP Address, etc.</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On-Site Support:</w:t>
      </w:r>
    </w:p>
    <w:p w:rsidR="00E07B88" w:rsidRPr="00E07B88" w:rsidRDefault="00E07B88" w:rsidP="00E07B88">
      <w:pPr>
        <w:pStyle w:val="ListParagraph"/>
        <w:numPr>
          <w:ilvl w:val="4"/>
          <w:numId w:val="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Vendor shall provide on-site support 24/7 (including Holidays) with sufficient technical, qualified, experienced, and suitable manpower.</w:t>
      </w:r>
    </w:p>
    <w:p w:rsidR="00E07B88" w:rsidRPr="00E07B88" w:rsidRDefault="00E07B88" w:rsidP="00E07B88">
      <w:pPr>
        <w:pStyle w:val="ListParagraph"/>
        <w:numPr>
          <w:ilvl w:val="4"/>
          <w:numId w:val="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All</w:t>
      </w:r>
      <w:r w:rsidR="009B152A">
        <w:rPr>
          <w:rFonts w:ascii="Arial Narrow" w:eastAsiaTheme="minorEastAsia" w:hAnsi="Arial Narrow" w:cs="Arial"/>
        </w:rPr>
        <w:t xml:space="preserve"> </w:t>
      </w:r>
      <w:r w:rsidRPr="00E07B88">
        <w:rPr>
          <w:rFonts w:ascii="Arial Narrow" w:eastAsiaTheme="minorEastAsia" w:hAnsi="Arial Narrow" w:cs="Arial"/>
        </w:rPr>
        <w:t>Engineers will be divided</w:t>
      </w:r>
      <w:r w:rsidR="009B152A">
        <w:rPr>
          <w:rFonts w:ascii="Arial Narrow" w:eastAsiaTheme="minorEastAsia" w:hAnsi="Arial Narrow" w:cs="Arial"/>
        </w:rPr>
        <w:t xml:space="preserve"> </w:t>
      </w:r>
      <w:r w:rsidRPr="00E07B88">
        <w:rPr>
          <w:rFonts w:ascii="Arial Narrow" w:eastAsiaTheme="minorEastAsia" w:hAnsi="Arial Narrow" w:cs="Arial"/>
        </w:rPr>
        <w:t>into</w:t>
      </w:r>
      <w:r w:rsidR="009B152A">
        <w:rPr>
          <w:rFonts w:ascii="Arial Narrow" w:eastAsiaTheme="minorEastAsia" w:hAnsi="Arial Narrow" w:cs="Arial"/>
        </w:rPr>
        <w:t xml:space="preserve"> </w:t>
      </w:r>
      <w:r w:rsidRPr="00E07B88">
        <w:rPr>
          <w:rFonts w:ascii="Arial Narrow" w:eastAsiaTheme="minorEastAsia" w:hAnsi="Arial Narrow" w:cs="Arial"/>
        </w:rPr>
        <w:t>three</w:t>
      </w:r>
      <w:r w:rsidR="009B152A">
        <w:rPr>
          <w:rFonts w:ascii="Arial Narrow" w:eastAsiaTheme="minorEastAsia" w:hAnsi="Arial Narrow" w:cs="Arial"/>
        </w:rPr>
        <w:t xml:space="preserve"> </w:t>
      </w:r>
      <w:r w:rsidRPr="00E07B88">
        <w:rPr>
          <w:rFonts w:ascii="Arial Narrow" w:eastAsiaTheme="minorEastAsia" w:hAnsi="Arial Narrow" w:cs="Arial"/>
        </w:rPr>
        <w:t>shifts in right proportion as per the workload in consultation with I.T department.</w:t>
      </w:r>
    </w:p>
    <w:p w:rsidR="00E07B88" w:rsidRPr="00E07B88" w:rsidRDefault="00E07B88" w:rsidP="00E07B88">
      <w:pPr>
        <w:pStyle w:val="ListParagraph"/>
        <w:numPr>
          <w:ilvl w:val="4"/>
          <w:numId w:val="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lastRenderedPageBreak/>
        <w:t>Maintain a supervisor as a single point of contact for all calls, responsible for overseeing the team. Minimum one supervisor per shift for at least two shifts in day.</w:t>
      </w:r>
      <w:bookmarkStart w:id="0" w:name="_GoBack"/>
      <w:bookmarkEnd w:id="0"/>
    </w:p>
    <w:p w:rsidR="00E07B88" w:rsidRPr="00E07B88" w:rsidRDefault="00E07B88" w:rsidP="00E07B88">
      <w:pPr>
        <w:pStyle w:val="ListParagraph"/>
        <w:numPr>
          <w:ilvl w:val="4"/>
          <w:numId w:val="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Vendor shall depute minimum 20 technical engineers and minimum 1call co-</w:t>
      </w:r>
      <w:proofErr w:type="spellStart"/>
      <w:r w:rsidRPr="00E07B88">
        <w:rPr>
          <w:rFonts w:ascii="Arial Narrow" w:eastAsiaTheme="minorEastAsia" w:hAnsi="Arial Narrow" w:cs="Arial"/>
        </w:rPr>
        <w:t>ordinator</w:t>
      </w:r>
      <w:proofErr w:type="spellEnd"/>
      <w:r w:rsidRPr="00E07B88">
        <w:rPr>
          <w:rFonts w:ascii="Arial Narrow" w:eastAsiaTheme="minorEastAsia" w:hAnsi="Arial Narrow" w:cs="Arial"/>
        </w:rPr>
        <w:t xml:space="preserve"> that should be essential for fulfilling the requirement of the contract and SLA as defined. </w:t>
      </w:r>
    </w:p>
    <w:p w:rsidR="00E07B88" w:rsidRPr="00E07B88" w:rsidRDefault="00E07B88" w:rsidP="00E07B88">
      <w:pPr>
        <w:pStyle w:val="ListParagraph"/>
        <w:numPr>
          <w:ilvl w:val="4"/>
          <w:numId w:val="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Manage calls received via phone, </w:t>
      </w:r>
      <w:proofErr w:type="spellStart"/>
      <w:r w:rsidRPr="00E07B88">
        <w:rPr>
          <w:rFonts w:ascii="Arial Narrow" w:eastAsiaTheme="minorEastAsia" w:hAnsi="Arial Narrow" w:cs="Arial"/>
        </w:rPr>
        <w:t>WhatsApp</w:t>
      </w:r>
      <w:proofErr w:type="spellEnd"/>
      <w:r w:rsidRPr="00E07B88">
        <w:rPr>
          <w:rFonts w:ascii="Arial Narrow" w:eastAsiaTheme="minorEastAsia" w:hAnsi="Arial Narrow" w:cs="Arial"/>
        </w:rPr>
        <w:t>, ticketing system, email, or mobile, maintaining a detailed electronic log of all calls.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Reporting:</w:t>
      </w:r>
    </w:p>
    <w:p w:rsidR="00E07B88" w:rsidRPr="00E07B88" w:rsidRDefault="00E07B88" w:rsidP="00E07B88">
      <w:pPr>
        <w:pStyle w:val="ListParagraph"/>
        <w:numPr>
          <w:ilvl w:val="4"/>
          <w:numId w:val="9"/>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Maintain daily electronic logs of calls, including details such as type of issue, hardware involved, issue summary, proposed resolution, proposed TAT, actual TAT, addressing engineer name, escalation engineer name, and current status.</w:t>
      </w:r>
    </w:p>
    <w:p w:rsidR="00E07B88" w:rsidRPr="00E07B88" w:rsidRDefault="00E07B88" w:rsidP="00E07B88">
      <w:pPr>
        <w:pStyle w:val="ListParagraph"/>
        <w:numPr>
          <w:ilvl w:val="4"/>
          <w:numId w:val="9"/>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Submit daily and monthly report to designated TMH </w:t>
      </w:r>
      <w:proofErr w:type="spellStart"/>
      <w:r w:rsidRPr="00E07B88">
        <w:rPr>
          <w:rFonts w:ascii="Arial Narrow" w:eastAsiaTheme="minorEastAsia" w:hAnsi="Arial Narrow" w:cs="Arial"/>
        </w:rPr>
        <w:t>personnel</w:t>
      </w:r>
      <w:proofErr w:type="gramStart"/>
      <w:r w:rsidRPr="00E07B88">
        <w:rPr>
          <w:rFonts w:ascii="Arial Narrow" w:eastAsiaTheme="minorEastAsia" w:hAnsi="Arial Narrow" w:cs="Arial"/>
        </w:rPr>
        <w:t>,for</w:t>
      </w:r>
      <w:proofErr w:type="spellEnd"/>
      <w:proofErr w:type="gramEnd"/>
      <w:r w:rsidRPr="00E07B88">
        <w:rPr>
          <w:rFonts w:ascii="Arial Narrow" w:eastAsiaTheme="minorEastAsia" w:hAnsi="Arial Narrow" w:cs="Arial"/>
        </w:rPr>
        <w:t xml:space="preserve"> verification and confirmation.</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Maintenance of standby Inventory</w:t>
      </w:r>
    </w:p>
    <w:p w:rsidR="00E07B88" w:rsidRPr="00E07B88" w:rsidRDefault="00E07B88" w:rsidP="00E07B88">
      <w:pPr>
        <w:pStyle w:val="ListParagraph"/>
        <w:numPr>
          <w:ilvl w:val="4"/>
          <w:numId w:val="1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Maintain an inventory of routinely required items subject to wear and tear (e.g., spare monitors, PCs, keyboards, mouse, hard disks, printer trays etc…).</w:t>
      </w:r>
    </w:p>
    <w:p w:rsidR="00E07B88" w:rsidRPr="00E07B88" w:rsidRDefault="00E07B88" w:rsidP="00E07B88">
      <w:pPr>
        <w:pStyle w:val="ListParagraph"/>
        <w:numPr>
          <w:ilvl w:val="4"/>
          <w:numId w:val="1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inventory should be of reasonably of good quality, so that timely replacement can be provided.</w:t>
      </w:r>
    </w:p>
    <w:p w:rsidR="00E07B88" w:rsidRPr="00E07B88" w:rsidRDefault="00E07B88" w:rsidP="00E07B88">
      <w:pPr>
        <w:pStyle w:val="ListParagraph"/>
        <w:numPr>
          <w:ilvl w:val="4"/>
          <w:numId w:val="1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Share with TMH, a real-time inventory log and asset IDs of the agency’s assets.</w:t>
      </w:r>
    </w:p>
    <w:p w:rsidR="00E07B88" w:rsidRPr="00E07B88" w:rsidRDefault="00E07B88" w:rsidP="00E07B88">
      <w:pPr>
        <w:pStyle w:val="ListParagraph"/>
        <w:numPr>
          <w:ilvl w:val="4"/>
          <w:numId w:val="1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agency shall be responsible to ensure the safety and security of its assets.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Replacement and Repair:</w:t>
      </w:r>
    </w:p>
    <w:p w:rsidR="00E07B88" w:rsidRPr="00E07B88" w:rsidRDefault="00E07B88" w:rsidP="00E07B88">
      <w:pPr>
        <w:pStyle w:val="ListParagraph"/>
        <w:numPr>
          <w:ilvl w:val="4"/>
          <w:numId w:val="1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After receiving a call and initial inspection, if it is realized that any issue is expected to take longer time to resolve thereby hampering the activities of the user, the agency shall instantly arrange for an</w:t>
      </w:r>
      <w:r w:rsidR="009B152A">
        <w:rPr>
          <w:rFonts w:ascii="Arial Narrow" w:eastAsiaTheme="minorEastAsia" w:hAnsi="Arial Narrow" w:cs="Arial"/>
        </w:rPr>
        <w:t xml:space="preserve"> </w:t>
      </w:r>
      <w:r w:rsidRPr="00E07B88">
        <w:rPr>
          <w:rFonts w:ascii="Arial Narrow" w:eastAsiaTheme="minorEastAsia" w:hAnsi="Arial Narrow" w:cs="Arial"/>
        </w:rPr>
        <w:t>equivalent standby machine until the issue gets resolved. Such replacements provided, shall be documented and shared with TMH.</w:t>
      </w:r>
    </w:p>
    <w:p w:rsidR="00E07B88" w:rsidRPr="00E07B88" w:rsidRDefault="00E07B88" w:rsidP="00E07B88">
      <w:pPr>
        <w:pStyle w:val="ListParagraph"/>
        <w:numPr>
          <w:ilvl w:val="4"/>
          <w:numId w:val="1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Maintain a faster replacement policy for critical cases upon request from TMH authorized representatives.</w:t>
      </w:r>
    </w:p>
    <w:p w:rsidR="00E07B88" w:rsidRPr="00E07B88" w:rsidRDefault="00E07B88" w:rsidP="00E07B88">
      <w:pPr>
        <w:pStyle w:val="ListParagraph"/>
        <w:numPr>
          <w:ilvl w:val="4"/>
          <w:numId w:val="1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vendor should reinstate or replace the malfunctioning non-functioning part or whole of the product with new and genuine working part or whole of the product of a matching configuration of the same brand. In case of non-availability of a part from the same brand, the available part with higher-level specification or whole of the product of the same brand should be considered. Any deviation shall be notified to TMH and the decision of permitting such decision shall solely lie with </w:t>
      </w:r>
      <w:proofErr w:type="spellStart"/>
      <w:r w:rsidRPr="00E07B88">
        <w:rPr>
          <w:rFonts w:ascii="Arial Narrow" w:eastAsiaTheme="minorEastAsia" w:hAnsi="Arial Narrow" w:cs="Arial"/>
        </w:rPr>
        <w:t>authorised</w:t>
      </w:r>
      <w:proofErr w:type="spellEnd"/>
      <w:r w:rsidRPr="00E07B88">
        <w:rPr>
          <w:rFonts w:ascii="Arial Narrow" w:eastAsiaTheme="minorEastAsia" w:hAnsi="Arial Narrow" w:cs="Arial"/>
        </w:rPr>
        <w:t xml:space="preserve"> personnel from TMH.</w:t>
      </w:r>
    </w:p>
    <w:p w:rsidR="00E07B88" w:rsidRPr="00E07B88" w:rsidRDefault="00E07B88" w:rsidP="00E07B88">
      <w:pPr>
        <w:pStyle w:val="ListParagraph"/>
        <w:numPr>
          <w:ilvl w:val="4"/>
          <w:numId w:val="1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In case, any hardware issue is not solvable on-site and</w:t>
      </w:r>
      <w:r w:rsidR="009B152A">
        <w:rPr>
          <w:rFonts w:ascii="Arial Narrow" w:eastAsiaTheme="minorEastAsia" w:hAnsi="Arial Narrow" w:cs="Arial"/>
        </w:rPr>
        <w:t xml:space="preserve"> </w:t>
      </w:r>
      <w:r w:rsidRPr="00E07B88">
        <w:rPr>
          <w:rFonts w:ascii="Arial Narrow" w:eastAsiaTheme="minorEastAsia" w:hAnsi="Arial Narrow" w:cs="Arial"/>
        </w:rPr>
        <w:t>a unit needs to be shifted</w:t>
      </w:r>
      <w:r w:rsidR="009B152A">
        <w:rPr>
          <w:rFonts w:ascii="Arial Narrow" w:eastAsiaTheme="minorEastAsia" w:hAnsi="Arial Narrow" w:cs="Arial"/>
        </w:rPr>
        <w:t xml:space="preserve"> </w:t>
      </w:r>
      <w:r w:rsidRPr="00E07B88">
        <w:rPr>
          <w:rFonts w:ascii="Arial Narrow" w:eastAsiaTheme="minorEastAsia" w:hAnsi="Arial Narrow" w:cs="Arial"/>
        </w:rPr>
        <w:t>to an external repair center,</w:t>
      </w:r>
      <w:r w:rsidR="009B152A">
        <w:rPr>
          <w:rFonts w:ascii="Arial Narrow" w:eastAsiaTheme="minorEastAsia" w:hAnsi="Arial Narrow" w:cs="Arial"/>
        </w:rPr>
        <w:t xml:space="preserve"> </w:t>
      </w:r>
      <w:r w:rsidRPr="00E07B88">
        <w:rPr>
          <w:rFonts w:ascii="Arial Narrow" w:eastAsiaTheme="minorEastAsia" w:hAnsi="Arial Narrow" w:cs="Arial"/>
        </w:rPr>
        <w:t>the transportation and any other logistic or related charges for shifting of faulty units to external repair</w:t>
      </w:r>
      <w:r w:rsidR="009B152A">
        <w:rPr>
          <w:rFonts w:ascii="Arial Narrow" w:eastAsiaTheme="minorEastAsia" w:hAnsi="Arial Narrow" w:cs="Arial"/>
        </w:rPr>
        <w:t xml:space="preserve"> </w:t>
      </w:r>
      <w:r w:rsidRPr="00E07B88">
        <w:rPr>
          <w:rFonts w:ascii="Arial Narrow" w:eastAsiaTheme="minorEastAsia" w:hAnsi="Arial Narrow" w:cs="Arial"/>
        </w:rPr>
        <w:t>center</w:t>
      </w:r>
      <w:r w:rsidR="009B152A">
        <w:rPr>
          <w:rFonts w:ascii="Arial Narrow" w:eastAsiaTheme="minorEastAsia" w:hAnsi="Arial Narrow" w:cs="Arial"/>
        </w:rPr>
        <w:t xml:space="preserve"> </w:t>
      </w:r>
      <w:r w:rsidRPr="00E07B88">
        <w:rPr>
          <w:rFonts w:ascii="Arial Narrow" w:eastAsiaTheme="minorEastAsia" w:hAnsi="Arial Narrow" w:cs="Arial"/>
        </w:rPr>
        <w:t>shall</w:t>
      </w:r>
      <w:r w:rsidR="009B152A">
        <w:rPr>
          <w:rFonts w:ascii="Arial Narrow" w:eastAsiaTheme="minorEastAsia" w:hAnsi="Arial Narrow" w:cs="Arial"/>
        </w:rPr>
        <w:t xml:space="preserve"> </w:t>
      </w:r>
      <w:r w:rsidRPr="00E07B88">
        <w:rPr>
          <w:rFonts w:ascii="Arial Narrow" w:eastAsiaTheme="minorEastAsia" w:hAnsi="Arial Narrow" w:cs="Arial"/>
        </w:rPr>
        <w:t>be</w:t>
      </w:r>
      <w:r w:rsidR="009B152A">
        <w:rPr>
          <w:rFonts w:ascii="Arial Narrow" w:eastAsiaTheme="minorEastAsia" w:hAnsi="Arial Narrow" w:cs="Arial"/>
        </w:rPr>
        <w:t xml:space="preserve"> </w:t>
      </w:r>
      <w:r w:rsidRPr="00E07B88">
        <w:rPr>
          <w:rFonts w:ascii="Arial Narrow" w:eastAsiaTheme="minorEastAsia" w:hAnsi="Arial Narrow" w:cs="Arial"/>
        </w:rPr>
        <w:t>borne by the agency and not by TMH.</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Termination:</w:t>
      </w:r>
    </w:p>
    <w:p w:rsidR="00E07B88" w:rsidRPr="00E07B88" w:rsidRDefault="00E07B88" w:rsidP="00E07B88">
      <w:pPr>
        <w:pStyle w:val="ListParagraph"/>
        <w:numPr>
          <w:ilvl w:val="4"/>
          <w:numId w:val="1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TMH reserves the right to terminate the contract for non-compliance with any terms, poor performance, and misconduct by the staff, breach of confidentiality, or any other reason deemed valid by TMH.</w:t>
      </w:r>
    </w:p>
    <w:p w:rsidR="00E07B88" w:rsidRPr="00E07B88" w:rsidRDefault="00E07B88" w:rsidP="00E07B88">
      <w:pPr>
        <w:pStyle w:val="ListParagraph"/>
        <w:numPr>
          <w:ilvl w:val="4"/>
          <w:numId w:val="1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If vendor wants to discontinue the service, he should inform prior 180 days.</w:t>
      </w:r>
    </w:p>
    <w:p w:rsidR="00E07B88" w:rsidRPr="00E07B88" w:rsidRDefault="00E07B88" w:rsidP="00E07B88">
      <w:pPr>
        <w:pStyle w:val="ListParagraph"/>
        <w:numPr>
          <w:ilvl w:val="4"/>
          <w:numId w:val="1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lastRenderedPageBreak/>
        <w:t xml:space="preserve">In case of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backing out in midstream without any explicit consent of TMH, the expenses / costs incurred by TMH for maintenance of machines for the balance period of this contract by alternative arrangements shall be liable to be recovered from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The above act of backing out would automatically debar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from any further dealing with TMH and the security deposit amount would also be forfeited.</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0"/>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Expertise Required:</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r w:rsidRPr="00E07B88">
        <w:rPr>
          <w:rFonts w:ascii="Arial Narrow" w:eastAsiaTheme="minorEastAsia" w:hAnsi="Arial Narrow" w:cs="Arial"/>
        </w:rPr>
        <w:t>On-Site Team:</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resident engineers should have a minimum qualification being a graduate in Electronics/ IT/ Computer related field OR graduate in any other field with 1-year Certification</w:t>
      </w:r>
      <w:r w:rsidR="009B152A">
        <w:rPr>
          <w:rFonts w:ascii="Arial Narrow" w:eastAsiaTheme="minorEastAsia" w:hAnsi="Arial Narrow" w:cs="Arial"/>
        </w:rPr>
        <w:t xml:space="preserve"> </w:t>
      </w:r>
      <w:r w:rsidRPr="00E07B88">
        <w:rPr>
          <w:rFonts w:ascii="Arial Narrow" w:eastAsiaTheme="minorEastAsia" w:hAnsi="Arial Narrow" w:cs="Arial"/>
        </w:rPr>
        <w:t>in computer hardware management or Diploma in Electronics / computers / IT from a recognized university.</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resident Engineers should have minimum 1 year of hands-on work experience in installing/troubleshooting maintaining PC’s &amp; printers in Medium/Large network environment and should be conversant with Desktop OS (Windows XP / 7/ 8/10).</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designated supervisors shall be minimum graduates with minimum 2 years’ experience in managing CMC contracts at a reasonably large organization/s.</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agency shall provide relevant documents to TMH before deputing</w:t>
      </w:r>
      <w:r w:rsidR="009B152A">
        <w:rPr>
          <w:rFonts w:ascii="Arial Narrow" w:eastAsiaTheme="minorEastAsia" w:hAnsi="Arial Narrow" w:cs="Arial"/>
        </w:rPr>
        <w:t xml:space="preserve"> </w:t>
      </w:r>
      <w:r w:rsidRPr="00E07B88">
        <w:rPr>
          <w:rFonts w:ascii="Arial Narrow" w:eastAsiaTheme="minorEastAsia" w:hAnsi="Arial Narrow" w:cs="Arial"/>
        </w:rPr>
        <w:t>the staff.</w:t>
      </w:r>
      <w:r w:rsidR="009B152A">
        <w:rPr>
          <w:rFonts w:ascii="Arial Narrow" w:eastAsiaTheme="minorEastAsia" w:hAnsi="Arial Narrow" w:cs="Arial"/>
        </w:rPr>
        <w:t xml:space="preserve"> </w:t>
      </w:r>
      <w:r w:rsidRPr="00E07B88">
        <w:rPr>
          <w:rFonts w:ascii="Arial Narrow" w:eastAsiaTheme="minorEastAsia" w:hAnsi="Arial Narrow" w:cs="Arial"/>
        </w:rPr>
        <w:t>Police Verification Report of all staff is mandatory before deputation at TMH.</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Each deputed agency staff will need to register a Biometric attendance. The Biometric attendance report can be shared with the agency by TMH on request.</w:t>
      </w:r>
    </w:p>
    <w:p w:rsidR="00E07B88" w:rsidRPr="00E07B88" w:rsidRDefault="00E07B88" w:rsidP="00E07B88">
      <w:pPr>
        <w:pStyle w:val="ListParagraph"/>
        <w:numPr>
          <w:ilvl w:val="0"/>
          <w:numId w:val="2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Ensure that on-site staff</w:t>
      </w:r>
      <w:r w:rsidR="009B152A">
        <w:rPr>
          <w:rFonts w:ascii="Arial Narrow" w:eastAsiaTheme="minorEastAsia" w:hAnsi="Arial Narrow" w:cs="Arial"/>
        </w:rPr>
        <w:t>s</w:t>
      </w:r>
      <w:r w:rsidRPr="00E07B88">
        <w:rPr>
          <w:rFonts w:ascii="Arial Narrow" w:eastAsiaTheme="minorEastAsia" w:hAnsi="Arial Narrow" w:cs="Arial"/>
        </w:rPr>
        <w:t xml:space="preserve"> are well-behaved and well-groomed.</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0"/>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Terms and Conditions:</w:t>
      </w:r>
    </w:p>
    <w:p w:rsidR="00E07B88" w:rsidRPr="00E07B88" w:rsidRDefault="00E07B88" w:rsidP="00E07B88">
      <w:pPr>
        <w:pStyle w:val="ListParagraph"/>
        <w:spacing w:before="100" w:beforeAutospacing="1" w:after="100" w:afterAutospacing="1"/>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General:</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agency must have an office in Mumbai, Mumbai Suburban, </w:t>
      </w:r>
      <w:proofErr w:type="spellStart"/>
      <w:r w:rsidRPr="00E07B88">
        <w:rPr>
          <w:rFonts w:ascii="Arial Narrow" w:eastAsiaTheme="minorEastAsia" w:hAnsi="Arial Narrow" w:cs="Arial"/>
        </w:rPr>
        <w:t>Navi</w:t>
      </w:r>
      <w:proofErr w:type="spellEnd"/>
      <w:r w:rsidRPr="00E07B88">
        <w:rPr>
          <w:rFonts w:ascii="Arial Narrow" w:eastAsiaTheme="minorEastAsia" w:hAnsi="Arial Narrow" w:cs="Arial"/>
        </w:rPr>
        <w:t xml:space="preserve">-Mumbai, </w:t>
      </w:r>
      <w:proofErr w:type="spellStart"/>
      <w:r w:rsidRPr="00E07B88">
        <w:rPr>
          <w:rFonts w:ascii="Arial Narrow" w:eastAsiaTheme="minorEastAsia" w:hAnsi="Arial Narrow" w:cs="Arial"/>
        </w:rPr>
        <w:t>Raigad</w:t>
      </w:r>
      <w:proofErr w:type="spellEnd"/>
      <w:r w:rsidRPr="00E07B88">
        <w:rPr>
          <w:rFonts w:ascii="Arial Narrow" w:eastAsiaTheme="minorEastAsia" w:hAnsi="Arial Narrow" w:cs="Arial"/>
        </w:rPr>
        <w:t xml:space="preserve"> or Thane regions.</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agency must have at least 3 years of market standing in this business.</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agency must have an annual turnover of at least ₹1 </w:t>
      </w:r>
      <w:proofErr w:type="spellStart"/>
      <w:r w:rsidRPr="00E07B88">
        <w:rPr>
          <w:rFonts w:ascii="Arial Narrow" w:eastAsiaTheme="minorEastAsia" w:hAnsi="Arial Narrow" w:cs="Arial"/>
        </w:rPr>
        <w:t>Crore</w:t>
      </w:r>
      <w:proofErr w:type="spellEnd"/>
      <w:r w:rsidRPr="00E07B88">
        <w:rPr>
          <w:rFonts w:ascii="Arial Narrow" w:eastAsiaTheme="minorEastAsia" w:hAnsi="Arial Narrow" w:cs="Arial"/>
        </w:rPr>
        <w:t>. Financial statements showing annual turnover shall be provided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successful bidder shall not claim any increase in rates due to rise in cost of raw materials, operational cost etc., and all-inclusive charges accepted shall be firm throughout the period of the contract.</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successful bidder shall abide by the general directives, and conditions of the Contract and contract Health Regulations or any other directives issued by the Management/State/Central Government any other statutory body at any time during the execution of contract. All the liabilities arising out of the any provision of </w:t>
      </w:r>
      <w:proofErr w:type="spellStart"/>
      <w:r w:rsidRPr="00E07B88">
        <w:rPr>
          <w:rFonts w:ascii="Arial Narrow" w:eastAsiaTheme="minorEastAsia" w:hAnsi="Arial Narrow" w:cs="Arial"/>
        </w:rPr>
        <w:t>labour</w:t>
      </w:r>
      <w:proofErr w:type="spellEnd"/>
      <w:r w:rsidRPr="00E07B88">
        <w:rPr>
          <w:rFonts w:ascii="Arial Narrow" w:eastAsiaTheme="minorEastAsia" w:hAnsi="Arial Narrow" w:cs="Arial"/>
        </w:rPr>
        <w:t xml:space="preserve"> acts in force and enacted from time to time shall be successful bidder’s responsibility.</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successful bidder shall be required to obtain a license from the Commissioner of </w:t>
      </w:r>
      <w:proofErr w:type="spellStart"/>
      <w:r w:rsidRPr="00E07B88">
        <w:rPr>
          <w:rFonts w:ascii="Arial Narrow" w:eastAsiaTheme="minorEastAsia" w:hAnsi="Arial Narrow" w:cs="Arial"/>
        </w:rPr>
        <w:t>Labour</w:t>
      </w:r>
      <w:proofErr w:type="spellEnd"/>
      <w:r w:rsidRPr="00E07B88">
        <w:rPr>
          <w:rFonts w:ascii="Arial Narrow" w:eastAsiaTheme="minorEastAsia" w:hAnsi="Arial Narrow" w:cs="Arial"/>
        </w:rPr>
        <w:t xml:space="preserve"> under the Successful bidder </w:t>
      </w:r>
      <w:proofErr w:type="spellStart"/>
      <w:r w:rsidRPr="00E07B88">
        <w:rPr>
          <w:rFonts w:ascii="Arial Narrow" w:eastAsiaTheme="minorEastAsia" w:hAnsi="Arial Narrow" w:cs="Arial"/>
        </w:rPr>
        <w:t>Labour</w:t>
      </w:r>
      <w:proofErr w:type="spellEnd"/>
      <w:r w:rsidRPr="00E07B88">
        <w:rPr>
          <w:rFonts w:ascii="Arial Narrow" w:eastAsiaTheme="minorEastAsia" w:hAnsi="Arial Narrow" w:cs="Arial"/>
        </w:rPr>
        <w:t xml:space="preserve"> (Regulation &amp; Abolition) Act 1970 and the Maharashtra Contract </w:t>
      </w:r>
      <w:proofErr w:type="spellStart"/>
      <w:r w:rsidRPr="00E07B88">
        <w:rPr>
          <w:rFonts w:ascii="Arial Narrow" w:eastAsiaTheme="minorEastAsia" w:hAnsi="Arial Narrow" w:cs="Arial"/>
        </w:rPr>
        <w:t>Labour</w:t>
      </w:r>
      <w:proofErr w:type="spellEnd"/>
      <w:r w:rsidRPr="00E07B88">
        <w:rPr>
          <w:rFonts w:ascii="Arial Narrow" w:eastAsiaTheme="minorEastAsia" w:hAnsi="Arial Narrow" w:cs="Arial"/>
        </w:rPr>
        <w:t xml:space="preserve"> 1917 immediately and to observe and abide strictly by the rules and regulations frame there under, in case </w:t>
      </w:r>
      <w:proofErr w:type="spellStart"/>
      <w:r w:rsidRPr="00E07B88">
        <w:rPr>
          <w:rFonts w:ascii="Arial Narrow" w:eastAsiaTheme="minorEastAsia" w:hAnsi="Arial Narrow" w:cs="Arial"/>
        </w:rPr>
        <w:t>the</w:t>
      </w:r>
      <w:proofErr w:type="spellEnd"/>
      <w:r w:rsidRPr="00E07B88">
        <w:rPr>
          <w:rFonts w:ascii="Arial Narrow" w:eastAsiaTheme="minorEastAsia" w:hAnsi="Arial Narrow" w:cs="Arial"/>
        </w:rPr>
        <w:t xml:space="preserve"> said Act is applicable.</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Bidder shall submit </w:t>
      </w:r>
      <w:proofErr w:type="spellStart"/>
      <w:r w:rsidRPr="00E07B88">
        <w:rPr>
          <w:rFonts w:ascii="Arial Narrow" w:eastAsiaTheme="minorEastAsia" w:hAnsi="Arial Narrow" w:cs="Arial"/>
        </w:rPr>
        <w:t>anUndertaking</w:t>
      </w:r>
      <w:proofErr w:type="spellEnd"/>
      <w:r w:rsidRPr="00E07B88">
        <w:rPr>
          <w:rFonts w:ascii="Arial Narrow" w:eastAsiaTheme="minorEastAsia" w:hAnsi="Arial Narrow" w:cs="Arial"/>
        </w:rPr>
        <w:t xml:space="preserve"> to execute the agreement if awarded.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bidder should be registered as a company in India as per Company Act 1956 &amp; 2013/ Partnership Bidder registered under LLP Act, 2008. Copy of the certificate of </w:t>
      </w:r>
      <w:r w:rsidRPr="00E07B88">
        <w:rPr>
          <w:rFonts w:ascii="Arial Narrow" w:eastAsiaTheme="minorEastAsia" w:hAnsi="Arial Narrow" w:cs="Arial"/>
        </w:rPr>
        <w:lastRenderedPageBreak/>
        <w:t>incorporation issued by The Registrar of Companies/ Partnership Deed etc. should be included in the technical bid.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Bidder should not have been blacklisted at the time of submission of the bid by any regulator / statutory body/ any government department/ BFSI/ PSU in </w:t>
      </w:r>
      <w:proofErr w:type="spellStart"/>
      <w:r w:rsidRPr="00E07B88">
        <w:rPr>
          <w:rFonts w:ascii="Arial Narrow" w:eastAsiaTheme="minorEastAsia" w:hAnsi="Arial Narrow" w:cs="Arial"/>
        </w:rPr>
        <w:t>India.Undertaking</w:t>
      </w:r>
      <w:proofErr w:type="spellEnd"/>
      <w:r w:rsidRPr="00E07B88">
        <w:rPr>
          <w:rFonts w:ascii="Arial Narrow" w:eastAsiaTheme="minorEastAsia" w:hAnsi="Arial Narrow" w:cs="Arial"/>
        </w:rPr>
        <w:t xml:space="preserve"> to be provided.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The bidder should not be involved in any litigation which threatens solvency of </w:t>
      </w:r>
      <w:proofErr w:type="spellStart"/>
      <w:r w:rsidRPr="00E07B88">
        <w:rPr>
          <w:rFonts w:ascii="Arial Narrow" w:eastAsiaTheme="minorEastAsia" w:hAnsi="Arial Narrow" w:cs="Arial"/>
        </w:rPr>
        <w:t>company.Certificate</w:t>
      </w:r>
      <w:proofErr w:type="spellEnd"/>
      <w:r w:rsidRPr="00E07B88">
        <w:rPr>
          <w:rFonts w:ascii="Arial Narrow" w:eastAsiaTheme="minorEastAsia" w:hAnsi="Arial Narrow" w:cs="Arial"/>
        </w:rPr>
        <w:t xml:space="preserve"> is to be provided by the chartered accountant /statutory auditor.</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Bidder should have all necessary licenses, permissions, no objections, Approvals as required under the law for carrying out its business. It should have an office in Mumbai/Mumbai Suburban/ </w:t>
      </w:r>
      <w:proofErr w:type="spellStart"/>
      <w:r w:rsidRPr="00E07B88">
        <w:rPr>
          <w:rFonts w:ascii="Arial Narrow" w:eastAsiaTheme="minorEastAsia" w:hAnsi="Arial Narrow" w:cs="Arial"/>
        </w:rPr>
        <w:t>Navi</w:t>
      </w:r>
      <w:proofErr w:type="spellEnd"/>
      <w:r w:rsidRPr="00E07B88">
        <w:rPr>
          <w:rFonts w:ascii="Arial Narrow" w:eastAsiaTheme="minorEastAsia" w:hAnsi="Arial Narrow" w:cs="Arial"/>
        </w:rPr>
        <w:t xml:space="preserve"> Mumbai/Thane. GST and other applicable taxes registration certificates/PAN etc.GST Certificate and Pan Card Copy to be submitted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Bidder should have at least 3 years of experience in providing CAMC services for computers, printers &amp; peripherals. Supporting documents for the same shall be submitted. Bidder should also execute satisfactory CMC services for at least three locations where the bidder has handled </w:t>
      </w:r>
      <w:proofErr w:type="gramStart"/>
      <w:r w:rsidRPr="00E07B88">
        <w:rPr>
          <w:rFonts w:ascii="Arial Narrow" w:eastAsiaTheme="minorEastAsia" w:hAnsi="Arial Narrow" w:cs="Arial"/>
        </w:rPr>
        <w:t>more than 750 I.T equipment (Computer, printers etc.)</w:t>
      </w:r>
      <w:proofErr w:type="gramEnd"/>
      <w:r w:rsidRPr="00E07B88">
        <w:rPr>
          <w:rFonts w:ascii="Arial Narrow" w:eastAsiaTheme="minorEastAsia" w:hAnsi="Arial Narrow" w:cs="Arial"/>
        </w:rPr>
        <w:t xml:space="preserve"> For fulfilling the experience criteria purchase Order copy for the services that had been executed shall be enclosed.</w:t>
      </w:r>
    </w:p>
    <w:p w:rsidR="00E07B88" w:rsidRPr="00E07B88" w:rsidRDefault="00E07B88" w:rsidP="00E07B88">
      <w:pPr>
        <w:pStyle w:val="ListParagraph"/>
        <w:numPr>
          <w:ilvl w:val="4"/>
          <w:numId w:val="13"/>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Engineers should be permanent employees of vendor and not from any franchisee of the vendor. List of engineers to be included in the technical bid with an escalation matrix.</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Service Level Agreements (SLAs)</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p>
    <w:p w:rsidR="00E07B88" w:rsidRPr="00E07B88" w:rsidRDefault="00E07B88" w:rsidP="00E07B88">
      <w:pPr>
        <w:pStyle w:val="ListParagraph"/>
        <w:numPr>
          <w:ilvl w:val="0"/>
          <w:numId w:val="1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Response Time:</w:t>
      </w:r>
    </w:p>
    <w:p w:rsidR="00E07B88" w:rsidRPr="00E07B88" w:rsidRDefault="00E07B88" w:rsidP="00E07B88">
      <w:pPr>
        <w:pStyle w:val="ListParagraph"/>
        <w:numPr>
          <w:ilvl w:val="0"/>
          <w:numId w:val="1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It is expected that the agency engineers respond to any call within 30 minutes.</w:t>
      </w:r>
    </w:p>
    <w:p w:rsidR="00E07B88" w:rsidRPr="00E07B88" w:rsidRDefault="00E07B88" w:rsidP="00E07B88">
      <w:pPr>
        <w:pStyle w:val="ListParagraph"/>
        <w:spacing w:before="100" w:beforeAutospacing="1" w:after="100" w:afterAutospacing="1"/>
        <w:ind w:left="2880"/>
        <w:jc w:val="both"/>
        <w:rPr>
          <w:rFonts w:ascii="Arial Narrow" w:eastAsiaTheme="minorEastAsia" w:hAnsi="Arial Narrow" w:cs="Arial"/>
        </w:rPr>
      </w:pPr>
    </w:p>
    <w:p w:rsidR="00E07B88" w:rsidRPr="00E07B88" w:rsidRDefault="00E07B88" w:rsidP="00E07B88">
      <w:pPr>
        <w:pStyle w:val="ListParagraph"/>
        <w:numPr>
          <w:ilvl w:val="0"/>
          <w:numId w:val="1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Resolution Time:</w:t>
      </w:r>
    </w:p>
    <w:p w:rsidR="00E07B88" w:rsidRPr="00E07B88" w:rsidRDefault="00E07B88" w:rsidP="00E07B88">
      <w:pPr>
        <w:pStyle w:val="ListParagraph"/>
        <w:numPr>
          <w:ilvl w:val="0"/>
          <w:numId w:val="1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Calls from Critical Areas (Patient service areas or any other area as notified by TMH): These calls must be resolved within 6 hours.</w:t>
      </w:r>
    </w:p>
    <w:p w:rsidR="00E07B88" w:rsidRPr="00E07B88" w:rsidRDefault="00E07B88" w:rsidP="00E07B88">
      <w:pPr>
        <w:pStyle w:val="ListParagraph"/>
        <w:numPr>
          <w:ilvl w:val="0"/>
          <w:numId w:val="1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Calls from Other Areas: These calls must be resolved within 24 hours.</w:t>
      </w:r>
    </w:p>
    <w:p w:rsidR="00E07B88" w:rsidRPr="00E07B88" w:rsidRDefault="00E07B88" w:rsidP="00E07B88">
      <w:pPr>
        <w:pStyle w:val="ListParagraph"/>
        <w:numPr>
          <w:ilvl w:val="0"/>
          <w:numId w:val="17"/>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Any deviation from above response and resolution time shall be notified to TMH post-facto or in advance as suitable. Acceptability of reasons for deviation shall be at the discretion of TMH.</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0"/>
          <w:numId w:val="1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Monitoring:</w:t>
      </w:r>
    </w:p>
    <w:p w:rsidR="00E07B88" w:rsidRPr="00E07B88" w:rsidRDefault="00E07B88" w:rsidP="00E07B88">
      <w:pPr>
        <w:pStyle w:val="ListParagraph"/>
        <w:numPr>
          <w:ilvl w:val="5"/>
          <w:numId w:val="1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Regular performance reviews with TMH to ensure adherence to SLAs.</w:t>
      </w:r>
    </w:p>
    <w:p w:rsidR="00E07B88" w:rsidRPr="00E07B88" w:rsidRDefault="00E07B88" w:rsidP="00E07B88">
      <w:pPr>
        <w:pStyle w:val="ListParagraph"/>
        <w:numPr>
          <w:ilvl w:val="5"/>
          <w:numId w:val="14"/>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Daily logs and monthly reports shall be submitted</w:t>
      </w:r>
      <w:r w:rsidR="009B152A">
        <w:rPr>
          <w:rFonts w:ascii="Arial Narrow" w:eastAsiaTheme="minorEastAsia" w:hAnsi="Arial Narrow" w:cs="Arial"/>
        </w:rPr>
        <w:t xml:space="preserve"> </w:t>
      </w:r>
      <w:r w:rsidRPr="00E07B88">
        <w:rPr>
          <w:rFonts w:ascii="Arial Narrow" w:eastAsiaTheme="minorEastAsia" w:hAnsi="Arial Narrow" w:cs="Arial"/>
        </w:rPr>
        <w:t>to track performance metrics.</w:t>
      </w:r>
    </w:p>
    <w:p w:rsidR="00E07B88" w:rsidRPr="00E07B88" w:rsidRDefault="00E07B88" w:rsidP="00E07B88">
      <w:pPr>
        <w:pStyle w:val="ListParagraph"/>
        <w:spacing w:before="100" w:beforeAutospacing="1" w:after="100" w:afterAutospacing="1"/>
        <w:ind w:left="288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Penalty Clauses:</w:t>
      </w:r>
    </w:p>
    <w:p w:rsidR="00E07B88" w:rsidRPr="00E07B88" w:rsidRDefault="00E07B88" w:rsidP="00E07B88">
      <w:pPr>
        <w:pStyle w:val="ListParagraph"/>
        <w:numPr>
          <w:ilvl w:val="4"/>
          <w:numId w:val="1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Non-Compliance with SLAs:</w:t>
      </w:r>
    </w:p>
    <w:p w:rsidR="00E07B88" w:rsidRPr="00E07B88" w:rsidRDefault="00E07B88" w:rsidP="00E07B88">
      <w:pPr>
        <w:pStyle w:val="ListParagraph"/>
        <w:numPr>
          <w:ilvl w:val="0"/>
          <w:numId w:val="2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If it is observed by TMH, that there is an unreasonable non-compliance to the SLA’s defined above a penalty of Rs. 500/- per day for delay in response and Rs. 1000/- per day for delay in resolution will be impose.</w:t>
      </w:r>
    </w:p>
    <w:p w:rsidR="00E07B88" w:rsidRPr="00E07B88" w:rsidRDefault="00E07B88" w:rsidP="00E07B88">
      <w:pPr>
        <w:pStyle w:val="ListParagraph"/>
        <w:numPr>
          <w:ilvl w:val="0"/>
          <w:numId w:val="2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The resident Engineer deployed</w:t>
      </w:r>
      <w:r>
        <w:rPr>
          <w:rFonts w:ascii="Arial Narrow" w:eastAsiaTheme="minorEastAsia" w:hAnsi="Arial Narrow" w:cs="Arial"/>
        </w:rPr>
        <w:t xml:space="preserve"> </w:t>
      </w:r>
      <w:r w:rsidRPr="00E07B88">
        <w:rPr>
          <w:rFonts w:ascii="Arial Narrow" w:eastAsiaTheme="minorEastAsia" w:hAnsi="Arial Narrow" w:cs="Arial"/>
        </w:rPr>
        <w:t>by</w:t>
      </w:r>
      <w:r>
        <w:rPr>
          <w:rFonts w:ascii="Arial Narrow" w:eastAsiaTheme="minorEastAsia" w:hAnsi="Arial Narrow" w:cs="Arial"/>
        </w:rPr>
        <w:t xml:space="preserve"> </w:t>
      </w:r>
      <w:r w:rsidRPr="00E07B88">
        <w:rPr>
          <w:rFonts w:ascii="Arial Narrow" w:eastAsiaTheme="minorEastAsia" w:hAnsi="Arial Narrow" w:cs="Arial"/>
        </w:rPr>
        <w:t>the</w:t>
      </w:r>
      <w:r>
        <w:rPr>
          <w:rFonts w:ascii="Arial Narrow" w:eastAsiaTheme="minorEastAsia" w:hAnsi="Arial Narrow" w:cs="Arial"/>
        </w:rPr>
        <w:t xml:space="preserve"> </w:t>
      </w:r>
      <w:r w:rsidRPr="00E07B88">
        <w:rPr>
          <w:rFonts w:ascii="Arial Narrow" w:eastAsiaTheme="minorEastAsia" w:hAnsi="Arial Narrow" w:cs="Arial"/>
        </w:rPr>
        <w:t>vendor</w:t>
      </w:r>
      <w:r>
        <w:rPr>
          <w:rFonts w:ascii="Arial Narrow" w:eastAsiaTheme="minorEastAsia" w:hAnsi="Arial Narrow" w:cs="Arial"/>
        </w:rPr>
        <w:t xml:space="preserve"> </w:t>
      </w:r>
      <w:r w:rsidRPr="00E07B88">
        <w:rPr>
          <w:rFonts w:ascii="Arial Narrow" w:eastAsiaTheme="minorEastAsia" w:hAnsi="Arial Narrow" w:cs="Arial"/>
        </w:rPr>
        <w:t>shall</w:t>
      </w:r>
      <w:r>
        <w:rPr>
          <w:rFonts w:ascii="Arial Narrow" w:eastAsiaTheme="minorEastAsia" w:hAnsi="Arial Narrow" w:cs="Arial"/>
        </w:rPr>
        <w:t xml:space="preserve"> </w:t>
      </w:r>
      <w:r w:rsidRPr="00E07B88">
        <w:rPr>
          <w:rFonts w:ascii="Arial Narrow" w:eastAsiaTheme="minorEastAsia" w:hAnsi="Arial Narrow" w:cs="Arial"/>
        </w:rPr>
        <w:t>mark</w:t>
      </w:r>
      <w:r>
        <w:rPr>
          <w:rFonts w:ascii="Arial Narrow" w:eastAsiaTheme="minorEastAsia" w:hAnsi="Arial Narrow" w:cs="Arial"/>
        </w:rPr>
        <w:t xml:space="preserve"> </w:t>
      </w:r>
      <w:r w:rsidRPr="00E07B88">
        <w:rPr>
          <w:rFonts w:ascii="Arial Narrow" w:eastAsiaTheme="minorEastAsia" w:hAnsi="Arial Narrow" w:cs="Arial"/>
        </w:rPr>
        <w:t>his/her</w:t>
      </w:r>
      <w:r>
        <w:rPr>
          <w:rFonts w:ascii="Arial Narrow" w:eastAsiaTheme="minorEastAsia" w:hAnsi="Arial Narrow" w:cs="Arial"/>
        </w:rPr>
        <w:t xml:space="preserve"> </w:t>
      </w:r>
      <w:r w:rsidRPr="00E07B88">
        <w:rPr>
          <w:rFonts w:ascii="Arial Narrow" w:eastAsiaTheme="minorEastAsia" w:hAnsi="Arial Narrow" w:cs="Arial"/>
        </w:rPr>
        <w:t>attendance</w:t>
      </w:r>
      <w:r>
        <w:rPr>
          <w:rFonts w:ascii="Arial Narrow" w:eastAsiaTheme="minorEastAsia" w:hAnsi="Arial Narrow" w:cs="Arial"/>
        </w:rPr>
        <w:t xml:space="preserve"> </w:t>
      </w:r>
      <w:r w:rsidRPr="00E07B88">
        <w:rPr>
          <w:rFonts w:ascii="Arial Narrow" w:eastAsiaTheme="minorEastAsia" w:hAnsi="Arial Narrow" w:cs="Arial"/>
        </w:rPr>
        <w:t>in</w:t>
      </w:r>
      <w:r>
        <w:rPr>
          <w:rFonts w:ascii="Arial Narrow" w:eastAsiaTheme="minorEastAsia" w:hAnsi="Arial Narrow" w:cs="Arial"/>
        </w:rPr>
        <w:t xml:space="preserve"> </w:t>
      </w:r>
      <w:r w:rsidRPr="00E07B88">
        <w:rPr>
          <w:rFonts w:ascii="Arial Narrow" w:eastAsiaTheme="minorEastAsia" w:hAnsi="Arial Narrow" w:cs="Arial"/>
        </w:rPr>
        <w:t>the</w:t>
      </w:r>
      <w:r>
        <w:rPr>
          <w:rFonts w:ascii="Arial Narrow" w:eastAsiaTheme="minorEastAsia" w:hAnsi="Arial Narrow" w:cs="Arial"/>
        </w:rPr>
        <w:t xml:space="preserve"> </w:t>
      </w:r>
      <w:r w:rsidRPr="00E07B88">
        <w:rPr>
          <w:rFonts w:ascii="Arial Narrow" w:eastAsiaTheme="minorEastAsia" w:hAnsi="Arial Narrow" w:cs="Arial"/>
        </w:rPr>
        <w:t>biometric</w:t>
      </w:r>
      <w:r>
        <w:rPr>
          <w:rFonts w:ascii="Arial Narrow" w:eastAsiaTheme="minorEastAsia" w:hAnsi="Arial Narrow" w:cs="Arial"/>
        </w:rPr>
        <w:t xml:space="preserve"> </w:t>
      </w:r>
      <w:r w:rsidRPr="00E07B88">
        <w:rPr>
          <w:rFonts w:ascii="Arial Narrow" w:eastAsiaTheme="minorEastAsia" w:hAnsi="Arial Narrow" w:cs="Arial"/>
        </w:rPr>
        <w:t>system under</w:t>
      </w:r>
      <w:r w:rsidR="009B152A">
        <w:rPr>
          <w:rFonts w:ascii="Arial Narrow" w:eastAsiaTheme="minorEastAsia" w:hAnsi="Arial Narrow" w:cs="Arial"/>
        </w:rPr>
        <w:t xml:space="preserve"> </w:t>
      </w:r>
      <w:r w:rsidRPr="00E07B88">
        <w:rPr>
          <w:rFonts w:ascii="Arial Narrow" w:eastAsiaTheme="minorEastAsia" w:hAnsi="Arial Narrow" w:cs="Arial"/>
        </w:rPr>
        <w:t>intimation</w:t>
      </w:r>
      <w:r w:rsidR="009B152A">
        <w:rPr>
          <w:rFonts w:ascii="Arial Narrow" w:eastAsiaTheme="minorEastAsia" w:hAnsi="Arial Narrow" w:cs="Arial"/>
        </w:rPr>
        <w:t xml:space="preserve"> </w:t>
      </w:r>
      <w:r w:rsidRPr="00E07B88">
        <w:rPr>
          <w:rFonts w:ascii="Arial Narrow" w:eastAsiaTheme="minorEastAsia" w:hAnsi="Arial Narrow" w:cs="Arial"/>
        </w:rPr>
        <w:t xml:space="preserve">of </w:t>
      </w:r>
      <w:proofErr w:type="spellStart"/>
      <w:r w:rsidRPr="00E07B88">
        <w:rPr>
          <w:rFonts w:ascii="Arial Narrow" w:eastAsiaTheme="minorEastAsia" w:hAnsi="Arial Narrow" w:cs="Arial"/>
        </w:rPr>
        <w:t>IT</w:t>
      </w:r>
      <w:proofErr w:type="gramStart"/>
      <w:r w:rsidRPr="00E07B88">
        <w:rPr>
          <w:rFonts w:ascii="Arial Narrow" w:eastAsiaTheme="minorEastAsia" w:hAnsi="Arial Narrow" w:cs="Arial"/>
        </w:rPr>
        <w:t>,Dept</w:t>
      </w:r>
      <w:proofErr w:type="spellEnd"/>
      <w:proofErr w:type="gramEnd"/>
      <w:r w:rsidRPr="00E07B88">
        <w:rPr>
          <w:rFonts w:ascii="Arial Narrow" w:eastAsiaTheme="minorEastAsia" w:hAnsi="Arial Narrow" w:cs="Arial"/>
        </w:rPr>
        <w:t>.</w:t>
      </w:r>
      <w:r w:rsidR="009B152A">
        <w:rPr>
          <w:rFonts w:ascii="Arial Narrow" w:eastAsiaTheme="minorEastAsia" w:hAnsi="Arial Narrow" w:cs="Arial"/>
        </w:rPr>
        <w:t xml:space="preserve"> </w:t>
      </w:r>
      <w:r w:rsidRPr="00E07B88">
        <w:rPr>
          <w:rFonts w:ascii="Arial Narrow" w:eastAsiaTheme="minorEastAsia" w:hAnsi="Arial Narrow" w:cs="Arial"/>
        </w:rPr>
        <w:t>and</w:t>
      </w:r>
      <w:r w:rsidR="009B152A">
        <w:rPr>
          <w:rFonts w:ascii="Arial Narrow" w:eastAsiaTheme="minorEastAsia" w:hAnsi="Arial Narrow" w:cs="Arial"/>
        </w:rPr>
        <w:t xml:space="preserve"> </w:t>
      </w:r>
      <w:r w:rsidRPr="00E07B88">
        <w:rPr>
          <w:rFonts w:ascii="Arial Narrow" w:eastAsiaTheme="minorEastAsia" w:hAnsi="Arial Narrow" w:cs="Arial"/>
        </w:rPr>
        <w:t>in</w:t>
      </w:r>
      <w:r w:rsidR="009B152A">
        <w:rPr>
          <w:rFonts w:ascii="Arial Narrow" w:eastAsiaTheme="minorEastAsia" w:hAnsi="Arial Narrow" w:cs="Arial"/>
        </w:rPr>
        <w:t xml:space="preserve"> </w:t>
      </w:r>
      <w:r w:rsidRPr="00E07B88">
        <w:rPr>
          <w:rFonts w:ascii="Arial Narrow" w:eastAsiaTheme="minorEastAsia" w:hAnsi="Arial Narrow" w:cs="Arial"/>
        </w:rPr>
        <w:t>case</w:t>
      </w:r>
      <w:r w:rsidR="009B152A">
        <w:rPr>
          <w:rFonts w:ascii="Arial Narrow" w:eastAsiaTheme="minorEastAsia" w:hAnsi="Arial Narrow" w:cs="Arial"/>
        </w:rPr>
        <w:t xml:space="preserve"> </w:t>
      </w:r>
      <w:r w:rsidRPr="00E07B88">
        <w:rPr>
          <w:rFonts w:ascii="Arial Narrow" w:eastAsiaTheme="minorEastAsia" w:hAnsi="Arial Narrow" w:cs="Arial"/>
        </w:rPr>
        <w:t>the</w:t>
      </w:r>
      <w:r w:rsidR="009B152A">
        <w:rPr>
          <w:rFonts w:ascii="Arial Narrow" w:eastAsiaTheme="minorEastAsia" w:hAnsi="Arial Narrow" w:cs="Arial"/>
        </w:rPr>
        <w:t xml:space="preserve"> </w:t>
      </w:r>
      <w:r w:rsidRPr="00E07B88">
        <w:rPr>
          <w:rFonts w:ascii="Arial Narrow" w:eastAsiaTheme="minorEastAsia" w:hAnsi="Arial Narrow" w:cs="Arial"/>
        </w:rPr>
        <w:t>Engineer</w:t>
      </w:r>
      <w:r w:rsidR="009B152A">
        <w:rPr>
          <w:rFonts w:ascii="Arial Narrow" w:eastAsiaTheme="minorEastAsia" w:hAnsi="Arial Narrow" w:cs="Arial"/>
        </w:rPr>
        <w:t xml:space="preserve"> </w:t>
      </w:r>
      <w:r w:rsidRPr="00E07B88">
        <w:rPr>
          <w:rFonts w:ascii="Arial Narrow" w:eastAsiaTheme="minorEastAsia" w:hAnsi="Arial Narrow" w:cs="Arial"/>
        </w:rPr>
        <w:t>avails</w:t>
      </w:r>
      <w:r w:rsidR="009B152A">
        <w:rPr>
          <w:rFonts w:ascii="Arial Narrow" w:eastAsiaTheme="minorEastAsia" w:hAnsi="Arial Narrow" w:cs="Arial"/>
        </w:rPr>
        <w:t xml:space="preserve"> </w:t>
      </w:r>
      <w:r w:rsidRPr="00E07B88">
        <w:rPr>
          <w:rFonts w:ascii="Arial Narrow" w:eastAsiaTheme="minorEastAsia" w:hAnsi="Arial Narrow" w:cs="Arial"/>
        </w:rPr>
        <w:t>leave</w:t>
      </w:r>
      <w:r w:rsidR="009B152A">
        <w:rPr>
          <w:rFonts w:ascii="Arial Narrow" w:eastAsiaTheme="minorEastAsia" w:hAnsi="Arial Narrow" w:cs="Arial"/>
        </w:rPr>
        <w:t xml:space="preserve"> </w:t>
      </w:r>
      <w:r w:rsidRPr="00E07B88">
        <w:rPr>
          <w:rFonts w:ascii="Arial Narrow" w:eastAsiaTheme="minorEastAsia" w:hAnsi="Arial Narrow" w:cs="Arial"/>
        </w:rPr>
        <w:t>or</w:t>
      </w:r>
      <w:r w:rsidR="009B152A">
        <w:rPr>
          <w:rFonts w:ascii="Arial Narrow" w:eastAsiaTheme="minorEastAsia" w:hAnsi="Arial Narrow" w:cs="Arial"/>
        </w:rPr>
        <w:t xml:space="preserve"> </w:t>
      </w:r>
      <w:r w:rsidRPr="00E07B88">
        <w:rPr>
          <w:rFonts w:ascii="Arial Narrow" w:eastAsiaTheme="minorEastAsia" w:hAnsi="Arial Narrow" w:cs="Arial"/>
        </w:rPr>
        <w:t>remains</w:t>
      </w:r>
      <w:r w:rsidR="009B152A">
        <w:rPr>
          <w:rFonts w:ascii="Arial Narrow" w:eastAsiaTheme="minorEastAsia" w:hAnsi="Arial Narrow" w:cs="Arial"/>
        </w:rPr>
        <w:t xml:space="preserve"> </w:t>
      </w:r>
      <w:r w:rsidRPr="00E07B88">
        <w:rPr>
          <w:rFonts w:ascii="Arial Narrow" w:eastAsiaTheme="minorEastAsia" w:hAnsi="Arial Narrow" w:cs="Arial"/>
        </w:rPr>
        <w:t>absent,</w:t>
      </w:r>
      <w:r w:rsidR="009B152A">
        <w:rPr>
          <w:rFonts w:ascii="Arial Narrow" w:eastAsiaTheme="minorEastAsia" w:hAnsi="Arial Narrow" w:cs="Arial"/>
        </w:rPr>
        <w:t xml:space="preserve"> </w:t>
      </w:r>
      <w:r w:rsidRPr="00E07B88">
        <w:rPr>
          <w:rFonts w:ascii="Arial Narrow" w:eastAsiaTheme="minorEastAsia" w:hAnsi="Arial Narrow" w:cs="Arial"/>
        </w:rPr>
        <w:t xml:space="preserve">the vendor shall arrange for a suitable substitute failing </w:t>
      </w:r>
      <w:r w:rsidRPr="00E07B88">
        <w:rPr>
          <w:rFonts w:ascii="Arial Narrow" w:eastAsiaTheme="minorEastAsia" w:hAnsi="Arial Narrow" w:cs="Arial"/>
        </w:rPr>
        <w:lastRenderedPageBreak/>
        <w:t>which an amount of Rs.500/- per Engineer</w:t>
      </w:r>
      <w:r>
        <w:rPr>
          <w:rFonts w:ascii="Arial Narrow" w:eastAsiaTheme="minorEastAsia" w:hAnsi="Arial Narrow" w:cs="Arial"/>
        </w:rPr>
        <w:t xml:space="preserve"> </w:t>
      </w:r>
      <w:r w:rsidRPr="00E07B88">
        <w:rPr>
          <w:rFonts w:ascii="Arial Narrow" w:eastAsiaTheme="minorEastAsia" w:hAnsi="Arial Narrow" w:cs="Arial"/>
        </w:rPr>
        <w:t>per</w:t>
      </w:r>
      <w:r w:rsidR="009B152A">
        <w:rPr>
          <w:rFonts w:ascii="Arial Narrow" w:eastAsiaTheme="minorEastAsia" w:hAnsi="Arial Narrow" w:cs="Arial"/>
        </w:rPr>
        <w:t xml:space="preserve"> </w:t>
      </w:r>
      <w:r w:rsidRPr="00E07B88">
        <w:rPr>
          <w:rFonts w:ascii="Arial Narrow" w:eastAsiaTheme="minorEastAsia" w:hAnsi="Arial Narrow" w:cs="Arial"/>
        </w:rPr>
        <w:t>day</w:t>
      </w:r>
      <w:r>
        <w:rPr>
          <w:rFonts w:ascii="Arial Narrow" w:eastAsiaTheme="minorEastAsia" w:hAnsi="Arial Narrow" w:cs="Arial"/>
        </w:rPr>
        <w:t xml:space="preserve"> </w:t>
      </w:r>
      <w:r w:rsidRPr="00E07B88">
        <w:rPr>
          <w:rFonts w:ascii="Arial Narrow" w:eastAsiaTheme="minorEastAsia" w:hAnsi="Arial Narrow" w:cs="Arial"/>
        </w:rPr>
        <w:t>will</w:t>
      </w:r>
      <w:r>
        <w:rPr>
          <w:rFonts w:ascii="Arial Narrow" w:eastAsiaTheme="minorEastAsia" w:hAnsi="Arial Narrow" w:cs="Arial"/>
        </w:rPr>
        <w:t xml:space="preserve"> </w:t>
      </w:r>
      <w:r w:rsidRPr="00E07B88">
        <w:rPr>
          <w:rFonts w:ascii="Arial Narrow" w:eastAsiaTheme="minorEastAsia" w:hAnsi="Arial Narrow" w:cs="Arial"/>
        </w:rPr>
        <w:t>be</w:t>
      </w:r>
      <w:r>
        <w:rPr>
          <w:rFonts w:ascii="Arial Narrow" w:eastAsiaTheme="minorEastAsia" w:hAnsi="Arial Narrow" w:cs="Arial"/>
        </w:rPr>
        <w:t xml:space="preserve"> </w:t>
      </w:r>
      <w:r w:rsidRPr="00E07B88">
        <w:rPr>
          <w:rFonts w:ascii="Arial Narrow" w:eastAsiaTheme="minorEastAsia" w:hAnsi="Arial Narrow" w:cs="Arial"/>
        </w:rPr>
        <w:t>deducted</w:t>
      </w:r>
      <w:r>
        <w:rPr>
          <w:rFonts w:ascii="Arial Narrow" w:eastAsiaTheme="minorEastAsia" w:hAnsi="Arial Narrow" w:cs="Arial"/>
        </w:rPr>
        <w:t xml:space="preserve"> </w:t>
      </w:r>
      <w:proofErr w:type="spellStart"/>
      <w:r w:rsidRPr="00E07B88">
        <w:rPr>
          <w:rFonts w:ascii="Arial Narrow" w:eastAsiaTheme="minorEastAsia" w:hAnsi="Arial Narrow" w:cs="Arial"/>
        </w:rPr>
        <w:t>byTMH</w:t>
      </w:r>
      <w:proofErr w:type="spellEnd"/>
      <w:r w:rsidRPr="00E07B88">
        <w:rPr>
          <w:rFonts w:ascii="Arial Narrow" w:eastAsiaTheme="minorEastAsia" w:hAnsi="Arial Narrow" w:cs="Arial"/>
        </w:rPr>
        <w:t xml:space="preserve"> as</w:t>
      </w:r>
      <w:r>
        <w:rPr>
          <w:rFonts w:ascii="Arial Narrow" w:eastAsiaTheme="minorEastAsia" w:hAnsi="Arial Narrow" w:cs="Arial"/>
        </w:rPr>
        <w:t xml:space="preserve"> </w:t>
      </w:r>
      <w:r w:rsidRPr="00E07B88">
        <w:rPr>
          <w:rFonts w:ascii="Arial Narrow" w:eastAsiaTheme="minorEastAsia" w:hAnsi="Arial Narrow" w:cs="Arial"/>
        </w:rPr>
        <w:t>penalty</w:t>
      </w:r>
      <w:r>
        <w:rPr>
          <w:rFonts w:ascii="Arial Narrow" w:eastAsiaTheme="minorEastAsia" w:hAnsi="Arial Narrow" w:cs="Arial"/>
        </w:rPr>
        <w:t xml:space="preserve"> </w:t>
      </w:r>
      <w:r w:rsidRPr="00E07B88">
        <w:rPr>
          <w:rFonts w:ascii="Arial Narrow" w:eastAsiaTheme="minorEastAsia" w:hAnsi="Arial Narrow" w:cs="Arial"/>
        </w:rPr>
        <w:t>from</w:t>
      </w:r>
      <w:r>
        <w:rPr>
          <w:rFonts w:ascii="Arial Narrow" w:eastAsiaTheme="minorEastAsia" w:hAnsi="Arial Narrow" w:cs="Arial"/>
        </w:rPr>
        <w:t xml:space="preserve"> </w:t>
      </w:r>
      <w:r w:rsidRPr="00E07B88">
        <w:rPr>
          <w:rFonts w:ascii="Arial Narrow" w:eastAsiaTheme="minorEastAsia" w:hAnsi="Arial Narrow" w:cs="Arial"/>
        </w:rPr>
        <w:t>the</w:t>
      </w:r>
      <w:r>
        <w:rPr>
          <w:rFonts w:ascii="Arial Narrow" w:eastAsiaTheme="minorEastAsia" w:hAnsi="Arial Narrow" w:cs="Arial"/>
        </w:rPr>
        <w:t xml:space="preserve"> </w:t>
      </w:r>
      <w:r w:rsidRPr="00E07B88">
        <w:rPr>
          <w:rFonts w:ascii="Arial Narrow" w:eastAsiaTheme="minorEastAsia" w:hAnsi="Arial Narrow" w:cs="Arial"/>
        </w:rPr>
        <w:t>bills</w:t>
      </w:r>
      <w:r>
        <w:rPr>
          <w:rFonts w:ascii="Arial Narrow" w:eastAsiaTheme="minorEastAsia" w:hAnsi="Arial Narrow" w:cs="Arial"/>
        </w:rPr>
        <w:t xml:space="preserve"> </w:t>
      </w:r>
      <w:r w:rsidRPr="00E07B88">
        <w:rPr>
          <w:rFonts w:ascii="Arial Narrow" w:eastAsiaTheme="minorEastAsia" w:hAnsi="Arial Narrow" w:cs="Arial"/>
        </w:rPr>
        <w:t>submitted</w:t>
      </w:r>
      <w:r>
        <w:rPr>
          <w:rFonts w:ascii="Arial Narrow" w:eastAsiaTheme="minorEastAsia" w:hAnsi="Arial Narrow" w:cs="Arial"/>
        </w:rPr>
        <w:t xml:space="preserve"> </w:t>
      </w:r>
      <w:r w:rsidRPr="00E07B88">
        <w:rPr>
          <w:rFonts w:ascii="Arial Narrow" w:eastAsiaTheme="minorEastAsia" w:hAnsi="Arial Narrow" w:cs="Arial"/>
        </w:rPr>
        <w:t>by</w:t>
      </w:r>
      <w:r>
        <w:rPr>
          <w:rFonts w:ascii="Arial Narrow" w:eastAsiaTheme="minorEastAsia" w:hAnsi="Arial Narrow" w:cs="Arial"/>
        </w:rPr>
        <w:t xml:space="preserve"> </w:t>
      </w:r>
      <w:r w:rsidRPr="00E07B88">
        <w:rPr>
          <w:rFonts w:ascii="Arial Narrow" w:eastAsiaTheme="minorEastAsia" w:hAnsi="Arial Narrow" w:cs="Arial"/>
        </w:rPr>
        <w:t>the vendor.</w:t>
      </w:r>
    </w:p>
    <w:p w:rsidR="00E07B88" w:rsidRPr="00E07B88" w:rsidRDefault="00E07B88" w:rsidP="00E07B88">
      <w:pPr>
        <w:pStyle w:val="ListParagraph"/>
        <w:numPr>
          <w:ilvl w:val="0"/>
          <w:numId w:val="2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Penalty, if any shall be deducted from any of the payment due to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w:t>
      </w:r>
    </w:p>
    <w:p w:rsidR="00E07B88" w:rsidRPr="00E07B88" w:rsidRDefault="00E07B88" w:rsidP="00E07B88">
      <w:pPr>
        <w:pStyle w:val="ListParagraph"/>
        <w:numPr>
          <w:ilvl w:val="0"/>
          <w:numId w:val="25"/>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Under no circumstances, TMH is responsible and should be held liable to pay and release the salaries of Resident Engineers deployed by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It shall be the duty of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to release and make payments of the monthly salary, reimbursements, etc. to the Resident Engineers on or before 10th day of the following month. In case of any failure on the part of the Resident Engineers to discharge their duties and functions as per the contract on the ground that the </w:t>
      </w:r>
      <w:proofErr w:type="spellStart"/>
      <w:r w:rsidRPr="00E07B88">
        <w:rPr>
          <w:rFonts w:ascii="Arial Narrow" w:eastAsiaTheme="minorEastAsia" w:hAnsi="Arial Narrow" w:cs="Arial"/>
        </w:rPr>
        <w:t>tenderer</w:t>
      </w:r>
      <w:proofErr w:type="spellEnd"/>
      <w:r w:rsidRPr="00E07B88">
        <w:rPr>
          <w:rFonts w:ascii="Arial Narrow" w:eastAsiaTheme="minorEastAsia" w:hAnsi="Arial Narrow" w:cs="Arial"/>
        </w:rPr>
        <w:t xml:space="preserve"> failed to release and pay their monthly salary, such default shall be brought to the attention of the Competent Authority for appropriate orders and directions</w:t>
      </w:r>
    </w:p>
    <w:p w:rsidR="00E07B88" w:rsidRPr="00E07B88" w:rsidRDefault="00E07B88" w:rsidP="00E07B88">
      <w:pPr>
        <w:pStyle w:val="ListParagraph"/>
        <w:spacing w:before="100" w:beforeAutospacing="1" w:after="100" w:afterAutospacing="1"/>
        <w:ind w:left="2160"/>
        <w:jc w:val="both"/>
        <w:rPr>
          <w:rFonts w:ascii="Arial Narrow" w:eastAsiaTheme="minorEastAsia" w:hAnsi="Arial Narrow" w:cs="Arial"/>
        </w:rPr>
      </w:pPr>
    </w:p>
    <w:p w:rsidR="00E07B88" w:rsidRPr="00E07B88" w:rsidRDefault="00E07B88" w:rsidP="00E07B88">
      <w:pPr>
        <w:pStyle w:val="ListParagraph"/>
        <w:numPr>
          <w:ilvl w:val="4"/>
          <w:numId w:val="1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Misconduct by Staff:</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roofErr w:type="gramStart"/>
      <w:r w:rsidRPr="00E07B88">
        <w:rPr>
          <w:rFonts w:ascii="Arial Narrow" w:eastAsiaTheme="minorEastAsia" w:hAnsi="Arial Narrow" w:cs="Arial"/>
        </w:rPr>
        <w:t>Immediate replacement of the staff member.</w:t>
      </w:r>
      <w:proofErr w:type="gramEnd"/>
      <w:r w:rsidRPr="00E07B88">
        <w:rPr>
          <w:rFonts w:ascii="Arial Narrow" w:eastAsiaTheme="minorEastAsia" w:hAnsi="Arial Narrow" w:cs="Arial"/>
        </w:rPr>
        <w:t xml:space="preserve"> TMH may choose to impose a penalty of ₹5000 for any such incident or choose to terminate the contract depending on the gravity of the incident.</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4"/>
          <w:numId w:val="18"/>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Poor Performance:</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Repeated non-compliance can lead to contract termination after three warnings.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Non-Disclosure Agreement (NDA):</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r w:rsidRPr="00E07B88">
        <w:rPr>
          <w:rFonts w:ascii="Arial Narrow" w:eastAsiaTheme="minorEastAsia" w:hAnsi="Arial Narrow" w:cs="Arial"/>
        </w:rPr>
        <w:t>The agency shall sign an NDA to ensure the confidentiality of TMH’s data and sensitive information.</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p>
    <w:p w:rsidR="00E07B88" w:rsidRPr="00E07B88" w:rsidRDefault="00E07B88" w:rsidP="00E07B88">
      <w:pPr>
        <w:pStyle w:val="ListParagraph"/>
        <w:numPr>
          <w:ilvl w:val="4"/>
          <w:numId w:val="19"/>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Confidentiality:</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The agency must ensure that all staff members handling TMH’s data are aware of and adhere to the confidentiality requirements.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4"/>
          <w:numId w:val="19"/>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Data Protection:</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Implement measures to protect TMH’s data from unauthorized access, breaches, and leaks.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4"/>
          <w:numId w:val="19"/>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Breach of NDA:</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Any breach of the NDA will result in immediate termination of the contract and legal action as deemed necessary by TMH.</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Payment Terms:</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r w:rsidRPr="00E07B88">
        <w:rPr>
          <w:rFonts w:ascii="Arial Narrow" w:eastAsiaTheme="minorEastAsia" w:hAnsi="Arial Narrow" w:cs="Arial"/>
        </w:rPr>
        <w:lastRenderedPageBreak/>
        <w:t>Payments will be made on a quarterly</w:t>
      </w:r>
      <w:r>
        <w:rPr>
          <w:rFonts w:ascii="Arial Narrow" w:eastAsiaTheme="minorEastAsia" w:hAnsi="Arial Narrow" w:cs="Arial"/>
        </w:rPr>
        <w:t xml:space="preserve"> </w:t>
      </w:r>
      <w:proofErr w:type="gramStart"/>
      <w:r w:rsidRPr="00E07B88">
        <w:rPr>
          <w:rFonts w:ascii="Arial Narrow" w:eastAsiaTheme="minorEastAsia" w:hAnsi="Arial Narrow" w:cs="Arial"/>
        </w:rPr>
        <w:t>basis(</w:t>
      </w:r>
      <w:proofErr w:type="gramEnd"/>
      <w:r w:rsidRPr="00E07B88">
        <w:rPr>
          <w:rFonts w:ascii="Arial Narrow" w:eastAsiaTheme="minorEastAsia" w:hAnsi="Arial Narrow" w:cs="Arial"/>
        </w:rPr>
        <w:t>after completion of three months’ period), linked to satisfactory reporting and performance.</w:t>
      </w:r>
    </w:p>
    <w:p w:rsidR="00E07B88" w:rsidRPr="00E07B88" w:rsidRDefault="00E07B88" w:rsidP="00E07B88">
      <w:pPr>
        <w:pStyle w:val="ListParagraph"/>
        <w:spacing w:before="100" w:beforeAutospacing="1" w:after="100" w:afterAutospacing="1"/>
        <w:ind w:left="1440"/>
        <w:jc w:val="both"/>
        <w:rPr>
          <w:rFonts w:ascii="Arial Narrow" w:eastAsiaTheme="minorEastAsia" w:hAnsi="Arial Narrow" w:cs="Arial"/>
        </w:rPr>
      </w:pPr>
    </w:p>
    <w:p w:rsidR="00E07B88" w:rsidRPr="00E07B88" w:rsidRDefault="00E07B88" w:rsidP="00E07B88">
      <w:pPr>
        <w:pStyle w:val="ListParagraph"/>
        <w:numPr>
          <w:ilvl w:val="4"/>
          <w:numId w:val="2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Payment Cycle:</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Payments will be processed every after completion of three months’ period s upon submission and approval of performance reports.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4"/>
          <w:numId w:val="20"/>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Deductions:</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r w:rsidRPr="00E07B88">
        <w:rPr>
          <w:rFonts w:ascii="Arial Narrow" w:eastAsiaTheme="minorEastAsia" w:hAnsi="Arial Narrow" w:cs="Arial"/>
        </w:rPr>
        <w:t>Deductions may be applied for non-compliance with SLAs, penalties for delays, or other terms of the contract.</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1"/>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Other Conditions:</w:t>
      </w:r>
    </w:p>
    <w:p w:rsidR="00E07B88" w:rsidRPr="00E07B88" w:rsidRDefault="00E07B88" w:rsidP="00E07B88">
      <w:pPr>
        <w:pStyle w:val="ListParagraph"/>
        <w:numPr>
          <w:ilvl w:val="4"/>
          <w:numId w:val="2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 xml:space="preserve">TMH shall provide a seating space </w:t>
      </w:r>
      <w:proofErr w:type="gramStart"/>
      <w:r w:rsidRPr="00E07B88">
        <w:rPr>
          <w:rFonts w:ascii="Arial Narrow" w:eastAsiaTheme="minorEastAsia" w:hAnsi="Arial Narrow" w:cs="Arial"/>
        </w:rPr>
        <w:t xml:space="preserve">of 100 </w:t>
      </w:r>
      <w:proofErr w:type="spellStart"/>
      <w:r w:rsidRPr="00E07B88">
        <w:rPr>
          <w:rFonts w:ascii="Arial Narrow" w:eastAsiaTheme="minorEastAsia" w:hAnsi="Arial Narrow" w:cs="Arial"/>
        </w:rPr>
        <w:t>sq.ft</w:t>
      </w:r>
      <w:proofErr w:type="spellEnd"/>
      <w:proofErr w:type="gramEnd"/>
      <w:r w:rsidRPr="00E07B88">
        <w:rPr>
          <w:rFonts w:ascii="Arial Narrow" w:eastAsiaTheme="minorEastAsia" w:hAnsi="Arial Narrow" w:cs="Arial"/>
        </w:rPr>
        <w:t xml:space="preserve">. </w:t>
      </w:r>
      <w:proofErr w:type="gramStart"/>
      <w:r w:rsidRPr="00E07B88">
        <w:rPr>
          <w:rFonts w:ascii="Arial Narrow" w:eastAsiaTheme="minorEastAsia" w:hAnsi="Arial Narrow" w:cs="Arial"/>
        </w:rPr>
        <w:t>for</w:t>
      </w:r>
      <w:proofErr w:type="gramEnd"/>
      <w:r w:rsidRPr="00E07B88">
        <w:rPr>
          <w:rFonts w:ascii="Arial Narrow" w:eastAsiaTheme="minorEastAsia" w:hAnsi="Arial Narrow" w:cs="Arial"/>
        </w:rPr>
        <w:t xml:space="preserve"> the agency to house its staff and appliances/ spares/ instruments/ equipment.</w:t>
      </w:r>
    </w:p>
    <w:p w:rsidR="00E07B88" w:rsidRPr="00E07B88" w:rsidRDefault="00E07B88" w:rsidP="00E07B88">
      <w:pPr>
        <w:pStyle w:val="ListParagraph"/>
        <w:numPr>
          <w:ilvl w:val="4"/>
          <w:numId w:val="21"/>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Storage space for inventory shall also be within the allotted space.</w:t>
      </w:r>
    </w:p>
    <w:p w:rsidR="00E07B88" w:rsidRPr="00E07B88" w:rsidRDefault="00E07B88" w:rsidP="00E07B88">
      <w:pPr>
        <w:pStyle w:val="ListParagraph"/>
        <w:spacing w:before="100" w:beforeAutospacing="1" w:after="100" w:afterAutospacing="1"/>
        <w:ind w:left="1800"/>
        <w:jc w:val="both"/>
        <w:rPr>
          <w:rFonts w:ascii="Arial Narrow" w:eastAsiaTheme="minorEastAsia" w:hAnsi="Arial Narrow" w:cs="Arial"/>
        </w:rPr>
      </w:pPr>
    </w:p>
    <w:p w:rsidR="00E07B88" w:rsidRPr="00E07B88" w:rsidRDefault="00E07B88" w:rsidP="00E07B88">
      <w:pPr>
        <w:pStyle w:val="ListParagraph"/>
        <w:numPr>
          <w:ilvl w:val="0"/>
          <w:numId w:val="6"/>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Submission Requirements:</w:t>
      </w:r>
    </w:p>
    <w:p w:rsidR="00E07B88" w:rsidRPr="00E07B88" w:rsidRDefault="00E07B88" w:rsidP="00E07B88">
      <w:pPr>
        <w:pStyle w:val="ListParagraph"/>
        <w:spacing w:before="100" w:beforeAutospacing="1" w:after="100" w:afterAutospacing="1"/>
        <w:jc w:val="both"/>
        <w:rPr>
          <w:rFonts w:ascii="Arial Narrow" w:eastAsiaTheme="minorEastAsia" w:hAnsi="Arial Narrow" w:cs="Arial"/>
        </w:rPr>
      </w:pPr>
      <w:r w:rsidRPr="00E07B88">
        <w:rPr>
          <w:rFonts w:ascii="Arial Narrow" w:eastAsiaTheme="minorEastAsia" w:hAnsi="Arial Narrow" w:cs="Arial"/>
        </w:rPr>
        <w:t>Interested agencies are requested to submit their proposals including the following:</w:t>
      </w:r>
    </w:p>
    <w:p w:rsidR="00E07B88" w:rsidRPr="00E07B88" w:rsidRDefault="00E07B88" w:rsidP="00E07B88">
      <w:pPr>
        <w:pStyle w:val="ListParagraph"/>
        <w:numPr>
          <w:ilvl w:val="0"/>
          <w:numId w:val="2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Company profile and market standing.</w:t>
      </w:r>
    </w:p>
    <w:p w:rsidR="00E07B88" w:rsidRPr="00E07B88" w:rsidRDefault="00E07B88" w:rsidP="00E07B88">
      <w:pPr>
        <w:pStyle w:val="ListParagraph"/>
        <w:numPr>
          <w:ilvl w:val="0"/>
          <w:numId w:val="2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Details of similar contracts handled in the past 3 years.</w:t>
      </w:r>
    </w:p>
    <w:p w:rsidR="00E07B88" w:rsidRPr="00E07B88" w:rsidRDefault="00E07B88" w:rsidP="00E07B88">
      <w:pPr>
        <w:pStyle w:val="ListParagraph"/>
        <w:numPr>
          <w:ilvl w:val="0"/>
          <w:numId w:val="2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Financial statements showing annual turnover.</w:t>
      </w:r>
    </w:p>
    <w:p w:rsidR="00E07B88" w:rsidRPr="00E07B88" w:rsidRDefault="00E07B88" w:rsidP="00E07B88">
      <w:pPr>
        <w:pStyle w:val="ListParagraph"/>
        <w:numPr>
          <w:ilvl w:val="0"/>
          <w:numId w:val="2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Proposed approach for meeting the scope of work and SLAs.</w:t>
      </w:r>
    </w:p>
    <w:p w:rsidR="00E07B88" w:rsidRPr="00E07B88" w:rsidRDefault="00E07B88" w:rsidP="00E07B88">
      <w:pPr>
        <w:pStyle w:val="ListParagraph"/>
        <w:numPr>
          <w:ilvl w:val="0"/>
          <w:numId w:val="22"/>
        </w:numPr>
        <w:spacing w:before="100" w:beforeAutospacing="1" w:after="100" w:afterAutospacing="1"/>
        <w:contextualSpacing/>
        <w:jc w:val="both"/>
        <w:rPr>
          <w:rFonts w:ascii="Arial Narrow" w:eastAsiaTheme="minorEastAsia" w:hAnsi="Arial Narrow" w:cs="Arial"/>
        </w:rPr>
      </w:pPr>
      <w:r w:rsidRPr="00E07B88">
        <w:rPr>
          <w:rFonts w:ascii="Arial Narrow" w:eastAsiaTheme="minorEastAsia" w:hAnsi="Arial Narrow" w:cs="Arial"/>
        </w:rPr>
        <w:t>Compliance with terms and conditions outlined above.</w:t>
      </w:r>
    </w:p>
    <w:p w:rsidR="00A029F1" w:rsidRDefault="00A029F1" w:rsidP="00A029F1">
      <w:pPr>
        <w:spacing w:after="0" w:line="240" w:lineRule="auto"/>
        <w:ind w:firstLine="720"/>
        <w:jc w:val="center"/>
        <w:rPr>
          <w:rFonts w:ascii="Arial Narrow" w:hAnsi="Arial Narrow" w:cs="Arial"/>
          <w:bCs/>
          <w:sz w:val="24"/>
          <w:szCs w:val="24"/>
          <w:u w:val="single"/>
        </w:rPr>
      </w:pPr>
    </w:p>
    <w:p w:rsidR="00A029F1" w:rsidRDefault="00A029F1" w:rsidP="00A029F1">
      <w:pPr>
        <w:spacing w:after="0" w:line="240" w:lineRule="auto"/>
        <w:ind w:left="360"/>
        <w:jc w:val="center"/>
        <w:rPr>
          <w:rFonts w:ascii="Arial Narrow" w:hAnsi="Arial Narrow"/>
          <w:b/>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E07B88" w:rsidRDefault="00E07B88" w:rsidP="00A029F1">
      <w:pPr>
        <w:spacing w:after="0" w:line="240" w:lineRule="auto"/>
        <w:ind w:left="360"/>
        <w:jc w:val="right"/>
        <w:rPr>
          <w:rFonts w:ascii="Arial Narrow" w:hAnsi="Arial Narrow"/>
          <w:b/>
          <w:sz w:val="32"/>
          <w:szCs w:val="32"/>
          <w:u w:val="single"/>
        </w:rPr>
      </w:pPr>
    </w:p>
    <w:p w:rsidR="00A029F1" w:rsidRPr="00BA5EDE" w:rsidRDefault="00A029F1" w:rsidP="00A029F1">
      <w:pPr>
        <w:spacing w:after="0" w:line="240" w:lineRule="auto"/>
        <w:ind w:left="360"/>
        <w:jc w:val="right"/>
        <w:rPr>
          <w:rFonts w:ascii="Arial Narrow" w:hAnsi="Arial Narrow"/>
          <w:sz w:val="32"/>
          <w:szCs w:val="32"/>
        </w:rPr>
      </w:pPr>
      <w:r w:rsidRPr="00BA5EDE">
        <w:rPr>
          <w:rFonts w:ascii="Arial Narrow" w:hAnsi="Arial Narrow"/>
          <w:b/>
          <w:sz w:val="32"/>
          <w:szCs w:val="32"/>
          <w:u w:val="single"/>
        </w:rPr>
        <w:t>(FINANCIAL BID (PART ‘B’)</w:t>
      </w:r>
    </w:p>
    <w:p w:rsidR="00A029F1" w:rsidRDefault="00A029F1" w:rsidP="00A029F1">
      <w:pPr>
        <w:tabs>
          <w:tab w:val="left" w:pos="2280"/>
          <w:tab w:val="left" w:pos="3360"/>
        </w:tabs>
        <w:spacing w:after="0" w:line="240" w:lineRule="auto"/>
        <w:jc w:val="center"/>
        <w:rPr>
          <w:rFonts w:ascii="Arial Narrow" w:hAnsi="Arial Narrow" w:cs="Arial"/>
          <w:b/>
        </w:rPr>
      </w:pPr>
    </w:p>
    <w:p w:rsidR="00A029F1" w:rsidRPr="00DC00F2" w:rsidRDefault="00A029F1" w:rsidP="00A029F1">
      <w:pPr>
        <w:tabs>
          <w:tab w:val="left" w:pos="2280"/>
          <w:tab w:val="left" w:pos="3360"/>
        </w:tabs>
        <w:spacing w:after="0" w:line="240" w:lineRule="auto"/>
        <w:jc w:val="center"/>
        <w:rPr>
          <w:rFonts w:ascii="Arial Narrow" w:hAnsi="Arial Narrow" w:cs="Arial"/>
          <w:b/>
          <w:color w:val="FF0000"/>
        </w:rPr>
      </w:pPr>
      <w:r w:rsidRPr="00DC00F2">
        <w:rPr>
          <w:rFonts w:ascii="Arial Narrow" w:hAnsi="Arial Narrow" w:cs="Arial"/>
          <w:b/>
        </w:rPr>
        <w:t>TATA MEMORIAL HOSPITAL</w:t>
      </w:r>
    </w:p>
    <w:p w:rsidR="00A029F1" w:rsidRPr="00DC00F2" w:rsidRDefault="00A029F1" w:rsidP="00A029F1">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DR. E. BORGES MARG.</w:t>
      </w:r>
    </w:p>
    <w:p w:rsidR="00A029F1" w:rsidRPr="00DC00F2" w:rsidRDefault="00A029F1" w:rsidP="00A029F1">
      <w:pPr>
        <w:tabs>
          <w:tab w:val="left" w:pos="2280"/>
          <w:tab w:val="left" w:pos="3360"/>
        </w:tabs>
        <w:spacing w:after="0" w:line="240" w:lineRule="auto"/>
        <w:jc w:val="center"/>
        <w:outlineLvl w:val="0"/>
        <w:rPr>
          <w:rFonts w:ascii="Arial Narrow" w:hAnsi="Arial Narrow" w:cs="Arial"/>
          <w:b/>
        </w:rPr>
      </w:pPr>
      <w:r w:rsidRPr="00DC00F2">
        <w:rPr>
          <w:rFonts w:ascii="Arial Narrow" w:hAnsi="Arial Narrow" w:cs="Arial"/>
          <w:b/>
        </w:rPr>
        <w:t>PAREL, MUMBAI - 400 012</w:t>
      </w:r>
    </w:p>
    <w:p w:rsidR="00A029F1" w:rsidRPr="007B1AFF" w:rsidRDefault="00A029F1" w:rsidP="00A029F1">
      <w:pPr>
        <w:spacing w:after="0" w:line="240" w:lineRule="auto"/>
        <w:jc w:val="both"/>
        <w:rPr>
          <w:rFonts w:ascii="Arial Narrow" w:hAnsi="Arial Narrow" w:cs="Arial"/>
          <w:bCs/>
          <w:sz w:val="24"/>
          <w:szCs w:val="24"/>
        </w:rPr>
      </w:pPr>
    </w:p>
    <w:p w:rsidR="00A029F1" w:rsidRPr="00DC00F2" w:rsidRDefault="00A029F1" w:rsidP="00A029F1">
      <w:pPr>
        <w:spacing w:after="0" w:line="240" w:lineRule="auto"/>
        <w:jc w:val="both"/>
        <w:rPr>
          <w:rFonts w:ascii="Arial Narrow" w:hAnsi="Arial Narrow" w:cs="Arial"/>
          <w:b/>
          <w:bCs/>
          <w:sz w:val="24"/>
          <w:szCs w:val="24"/>
        </w:rPr>
      </w:pPr>
      <w:r w:rsidRPr="00DC00F2">
        <w:rPr>
          <w:rFonts w:ascii="Arial Narrow" w:hAnsi="Arial Narrow" w:cs="Arial"/>
          <w:b/>
          <w:bCs/>
          <w:sz w:val="24"/>
          <w:szCs w:val="24"/>
        </w:rPr>
        <w:t>Tender Notice No.:</w:t>
      </w:r>
      <w:r w:rsidR="00680D2E" w:rsidRPr="00680D2E">
        <w:rPr>
          <w:rFonts w:ascii="Arial Narrow" w:hAnsi="Arial Narrow" w:cs="Arial"/>
          <w:b/>
          <w:bCs/>
          <w:sz w:val="24"/>
          <w:szCs w:val="24"/>
        </w:rPr>
        <w:t xml:space="preserve"> </w:t>
      </w:r>
      <w:r w:rsidR="00680D2E">
        <w:rPr>
          <w:rFonts w:ascii="Arial Narrow" w:hAnsi="Arial Narrow" w:cs="Arial"/>
          <w:b/>
          <w:bCs/>
          <w:sz w:val="24"/>
          <w:szCs w:val="24"/>
        </w:rPr>
        <w:t>TMH/M&amp;VC-A/IT/2024-25/CAMC</w:t>
      </w:r>
      <w:r w:rsidR="00680D2E" w:rsidRPr="00DC00F2">
        <w:rPr>
          <w:rFonts w:ascii="Arial Narrow" w:hAnsi="Arial Narrow" w:cs="Arial"/>
          <w:b/>
          <w:bCs/>
          <w:sz w:val="24"/>
          <w:szCs w:val="24"/>
        </w:rPr>
        <w:t>/</w:t>
      </w:r>
      <w:r w:rsidR="00680D2E">
        <w:rPr>
          <w:rFonts w:ascii="Arial Narrow" w:hAnsi="Arial Narrow" w:cs="Arial"/>
          <w:b/>
          <w:bCs/>
          <w:sz w:val="24"/>
          <w:szCs w:val="24"/>
        </w:rPr>
        <w:t>02</w:t>
      </w:r>
      <w:r w:rsidR="00566E54">
        <w:rPr>
          <w:rFonts w:ascii="Arial Narrow" w:hAnsi="Arial Narrow" w:cs="Arial"/>
          <w:b/>
          <w:bCs/>
          <w:sz w:val="24"/>
          <w:szCs w:val="24"/>
        </w:rPr>
        <w:tab/>
      </w:r>
      <w:r w:rsidR="00566E54">
        <w:rPr>
          <w:rFonts w:ascii="Arial Narrow" w:hAnsi="Arial Narrow" w:cs="Arial"/>
          <w:b/>
          <w:bCs/>
          <w:sz w:val="24"/>
          <w:szCs w:val="24"/>
        </w:rPr>
        <w:tab/>
      </w:r>
      <w:r w:rsidR="00566E54">
        <w:rPr>
          <w:rFonts w:ascii="Arial Narrow" w:hAnsi="Arial Narrow" w:cs="Arial"/>
          <w:b/>
          <w:bCs/>
          <w:sz w:val="24"/>
          <w:szCs w:val="24"/>
        </w:rPr>
        <w:tab/>
      </w:r>
      <w:r w:rsidR="00680D2E">
        <w:rPr>
          <w:rFonts w:ascii="Arial Narrow" w:hAnsi="Arial Narrow" w:cs="Arial"/>
          <w:b/>
          <w:bCs/>
          <w:sz w:val="24"/>
          <w:szCs w:val="24"/>
        </w:rPr>
        <w:tab/>
      </w:r>
      <w:r w:rsidRPr="00DC00F2">
        <w:rPr>
          <w:rFonts w:ascii="Arial Narrow" w:hAnsi="Arial Narrow" w:cs="Arial"/>
          <w:b/>
          <w:bCs/>
          <w:sz w:val="24"/>
          <w:szCs w:val="24"/>
        </w:rPr>
        <w:t xml:space="preserve">Date: </w:t>
      </w:r>
      <w:r w:rsidR="00E07B88">
        <w:rPr>
          <w:rFonts w:ascii="Arial Narrow" w:hAnsi="Arial Narrow" w:cs="Arial"/>
          <w:b/>
          <w:bCs/>
          <w:sz w:val="24"/>
          <w:szCs w:val="24"/>
        </w:rPr>
        <w:t>09</w:t>
      </w:r>
      <w:r w:rsidR="00B94624">
        <w:rPr>
          <w:rFonts w:ascii="Arial Narrow" w:hAnsi="Arial Narrow" w:cs="Arial"/>
          <w:b/>
          <w:bCs/>
          <w:sz w:val="24"/>
          <w:szCs w:val="24"/>
        </w:rPr>
        <w:t>/10</w:t>
      </w:r>
      <w:r w:rsidR="00334207">
        <w:rPr>
          <w:rFonts w:ascii="Arial Narrow" w:hAnsi="Arial Narrow" w:cs="Arial"/>
          <w:b/>
          <w:bCs/>
          <w:sz w:val="24"/>
          <w:szCs w:val="24"/>
        </w:rPr>
        <w:t>/2024</w:t>
      </w:r>
    </w:p>
    <w:p w:rsidR="00A029F1" w:rsidRDefault="00A029F1" w:rsidP="00A029F1">
      <w:pPr>
        <w:spacing w:after="0" w:line="240" w:lineRule="auto"/>
        <w:ind w:left="360"/>
        <w:jc w:val="center"/>
        <w:rPr>
          <w:rFonts w:ascii="Arial Narrow" w:hAnsi="Arial Narrow"/>
        </w:rPr>
      </w:pPr>
    </w:p>
    <w:p w:rsidR="00A029F1" w:rsidRPr="005A7700" w:rsidRDefault="00A029F1" w:rsidP="00A029F1">
      <w:pPr>
        <w:spacing w:after="0" w:line="240" w:lineRule="auto"/>
        <w:ind w:left="360"/>
        <w:jc w:val="center"/>
        <w:rPr>
          <w:rFonts w:ascii="Arial Narrow" w:hAnsi="Arial Narrow"/>
        </w:rPr>
      </w:pPr>
    </w:p>
    <w:p w:rsidR="00A029F1" w:rsidRPr="005A7700" w:rsidRDefault="00A029F1" w:rsidP="00A029F1">
      <w:pPr>
        <w:spacing w:after="0" w:line="240" w:lineRule="auto"/>
        <w:ind w:left="360" w:firstLine="360"/>
        <w:rPr>
          <w:rFonts w:ascii="Arial Narrow" w:hAnsi="Arial Narrow"/>
        </w:rPr>
      </w:pPr>
      <w:r>
        <w:rPr>
          <w:rFonts w:ascii="Arial Narrow" w:hAnsi="Arial Narrow"/>
          <w:b/>
        </w:rPr>
        <w:t xml:space="preserve">     </w:t>
      </w:r>
      <w:r w:rsidRPr="00873D3B">
        <w:rPr>
          <w:rFonts w:ascii="Arial Narrow" w:hAnsi="Arial Narrow"/>
          <w:b/>
        </w:rPr>
        <w:t>Name of work</w:t>
      </w:r>
      <w:r w:rsidRPr="005A7700">
        <w:rPr>
          <w:rFonts w:ascii="Arial Narrow" w:hAnsi="Arial Narrow"/>
        </w:rPr>
        <w:t>: Comprehensive Annual Maintenance</w:t>
      </w:r>
      <w:r>
        <w:rPr>
          <w:rFonts w:ascii="Arial Narrow" w:hAnsi="Arial Narrow"/>
        </w:rPr>
        <w:t xml:space="preserve"> Service </w:t>
      </w:r>
      <w:r w:rsidRPr="005A7700">
        <w:rPr>
          <w:rFonts w:ascii="Arial Narrow" w:hAnsi="Arial Narrow"/>
        </w:rPr>
        <w:t xml:space="preserve">Contract for Computers, </w:t>
      </w:r>
    </w:p>
    <w:p w:rsidR="00A029F1" w:rsidRPr="005A7700" w:rsidRDefault="00A029F1" w:rsidP="00A029F1">
      <w:pPr>
        <w:spacing w:after="0" w:line="240" w:lineRule="auto"/>
        <w:ind w:left="360"/>
        <w:rPr>
          <w:rFonts w:ascii="Arial Narrow" w:hAnsi="Arial Narrow"/>
        </w:rPr>
      </w:pPr>
      <w:r w:rsidRPr="005A7700">
        <w:rPr>
          <w:rFonts w:ascii="Arial Narrow" w:hAnsi="Arial Narrow"/>
        </w:rPr>
        <w:t xml:space="preserve">                                    </w:t>
      </w:r>
      <w:r>
        <w:rPr>
          <w:rFonts w:ascii="Arial Narrow" w:hAnsi="Arial Narrow"/>
        </w:rPr>
        <w:t xml:space="preserve">   </w:t>
      </w:r>
      <w:r w:rsidRPr="005A7700">
        <w:rPr>
          <w:rFonts w:ascii="Arial Narrow" w:hAnsi="Arial Narrow"/>
        </w:rPr>
        <w:t xml:space="preserve">Printers &amp; Peripherals of various departments for the period of Two Years  </w:t>
      </w:r>
    </w:p>
    <w:p w:rsidR="00A029F1" w:rsidRPr="005A7700" w:rsidRDefault="00A029F1" w:rsidP="00A029F1">
      <w:pPr>
        <w:spacing w:after="0" w:line="240" w:lineRule="auto"/>
        <w:ind w:left="360"/>
        <w:rPr>
          <w:rFonts w:ascii="Arial Narrow" w:hAnsi="Arial Narrow"/>
        </w:rPr>
      </w:pPr>
      <w:r w:rsidRPr="005A7700">
        <w:rPr>
          <w:rFonts w:ascii="Arial Narrow" w:hAnsi="Arial Narrow"/>
        </w:rPr>
        <w:tab/>
      </w:r>
      <w:r w:rsidRPr="005A7700">
        <w:rPr>
          <w:rFonts w:ascii="Arial Narrow" w:hAnsi="Arial Narrow"/>
        </w:rPr>
        <w:tab/>
      </w:r>
      <w:r w:rsidRPr="005A7700">
        <w:rPr>
          <w:rFonts w:ascii="Arial Narrow" w:hAnsi="Arial Narrow"/>
        </w:rPr>
        <w:tab/>
        <w:t xml:space="preserve">  </w:t>
      </w:r>
      <w:r>
        <w:rPr>
          <w:rFonts w:ascii="Arial Narrow" w:hAnsi="Arial Narrow"/>
        </w:rPr>
        <w:t xml:space="preserve"> </w:t>
      </w:r>
      <w:proofErr w:type="gramStart"/>
      <w:r w:rsidRPr="005A7700">
        <w:rPr>
          <w:rFonts w:ascii="Arial Narrow" w:hAnsi="Arial Narrow"/>
        </w:rPr>
        <w:t>i.</w:t>
      </w:r>
      <w:r>
        <w:rPr>
          <w:rFonts w:ascii="Arial Narrow" w:hAnsi="Arial Narrow"/>
        </w:rPr>
        <w:t>e</w:t>
      </w:r>
      <w:proofErr w:type="gramEnd"/>
      <w:r>
        <w:rPr>
          <w:rFonts w:ascii="Arial Narrow" w:hAnsi="Arial Narrow"/>
        </w:rPr>
        <w:t xml:space="preserve">. from </w:t>
      </w:r>
      <w:r w:rsidR="00680D2E">
        <w:rPr>
          <w:rFonts w:ascii="Arial Narrow" w:hAnsi="Arial Narrow"/>
          <w:b/>
        </w:rPr>
        <w:t>01/11</w:t>
      </w:r>
      <w:r w:rsidR="00334207" w:rsidRPr="00334207">
        <w:rPr>
          <w:rFonts w:ascii="Arial Narrow" w:hAnsi="Arial Narrow"/>
          <w:b/>
        </w:rPr>
        <w:t>/2024</w:t>
      </w:r>
      <w:r w:rsidR="00566E54">
        <w:rPr>
          <w:rFonts w:ascii="Arial Narrow" w:hAnsi="Arial Narrow"/>
          <w:b/>
        </w:rPr>
        <w:t xml:space="preserve"> to</w:t>
      </w:r>
      <w:r w:rsidR="007A3290">
        <w:rPr>
          <w:rFonts w:ascii="Arial Narrow" w:hAnsi="Arial Narrow"/>
          <w:b/>
        </w:rPr>
        <w:t xml:space="preserve"> </w:t>
      </w:r>
      <w:r w:rsidR="00680D2E">
        <w:rPr>
          <w:rFonts w:ascii="Arial Narrow" w:hAnsi="Arial Narrow"/>
          <w:b/>
        </w:rPr>
        <w:t>31/10</w:t>
      </w:r>
      <w:r w:rsidR="00334207">
        <w:rPr>
          <w:rFonts w:ascii="Arial Narrow" w:hAnsi="Arial Narrow"/>
          <w:b/>
        </w:rPr>
        <w:t>/2026</w:t>
      </w:r>
    </w:p>
    <w:p w:rsidR="00A029F1" w:rsidRPr="00CF6DEE" w:rsidRDefault="00A029F1" w:rsidP="00A029F1">
      <w:pPr>
        <w:ind w:left="360"/>
        <w:rPr>
          <w:rFonts w:ascii="Arial Narrow" w:hAnsi="Arial Narrow"/>
          <w:b/>
          <w:u w:val="single"/>
        </w:rPr>
      </w:pPr>
      <w:r w:rsidRPr="005A7700">
        <w:rPr>
          <w:rFonts w:ascii="Arial Narrow" w:hAnsi="Arial Narrow"/>
        </w:rPr>
        <w:tab/>
      </w:r>
      <w:r w:rsidRPr="005A7700">
        <w:rPr>
          <w:rFonts w:ascii="Arial Narrow" w:hAnsi="Arial Narrow"/>
        </w:rPr>
        <w:tab/>
      </w:r>
      <w:r w:rsidRPr="005A7700">
        <w:rPr>
          <w:rFonts w:ascii="Arial Narrow" w:hAnsi="Arial Narrow"/>
        </w:rPr>
        <w:tab/>
        <w:t xml:space="preserve">   ---------------------------------------------------------------------------------------------------</w:t>
      </w:r>
      <w:r w:rsidRPr="00CF6DEE">
        <w:rPr>
          <w:rFonts w:ascii="Arial Narrow" w:hAnsi="Arial Narrow"/>
          <w:b/>
          <w:u w:val="single"/>
        </w:rPr>
        <w:t xml:space="preserve">                                                 </w:t>
      </w:r>
    </w:p>
    <w:p w:rsidR="00A029F1" w:rsidRDefault="00A029F1" w:rsidP="00A029F1">
      <w:pPr>
        <w:spacing w:after="0" w:line="240" w:lineRule="auto"/>
        <w:ind w:left="360"/>
        <w:jc w:val="center"/>
        <w:rPr>
          <w:rFonts w:ascii="Arial Narrow" w:hAnsi="Arial Narrow"/>
          <w:b/>
          <w:u w:val="single"/>
        </w:rPr>
      </w:pPr>
      <w:r w:rsidRPr="005A7700">
        <w:rPr>
          <w:rFonts w:ascii="Arial Narrow" w:hAnsi="Arial Narrow"/>
          <w:b/>
          <w:u w:val="single"/>
        </w:rPr>
        <w:t>SCHEDULE OF QUANTITIES</w:t>
      </w:r>
    </w:p>
    <w:p w:rsidR="00A029F1" w:rsidRPr="005A7700" w:rsidRDefault="00A029F1" w:rsidP="00A029F1">
      <w:pPr>
        <w:spacing w:after="0" w:line="240" w:lineRule="auto"/>
        <w:ind w:left="360"/>
        <w:jc w:val="center"/>
        <w:rPr>
          <w:rFonts w:ascii="Arial Narrow" w:hAnsi="Arial Narrow"/>
          <w:b/>
          <w:u w:val="single"/>
        </w:rPr>
      </w:pPr>
    </w:p>
    <w:tbl>
      <w:tblPr>
        <w:tblpPr w:leftFromText="180" w:rightFromText="180" w:vertAnchor="text" w:tblpX="918"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2250"/>
        <w:gridCol w:w="1440"/>
        <w:gridCol w:w="1710"/>
        <w:gridCol w:w="990"/>
        <w:gridCol w:w="900"/>
      </w:tblGrid>
      <w:tr w:rsidR="002A170D" w:rsidRPr="005A7700" w:rsidTr="002A170D">
        <w:tc>
          <w:tcPr>
            <w:tcW w:w="828" w:type="dxa"/>
          </w:tcPr>
          <w:p w:rsidR="002A170D" w:rsidRPr="005A7700" w:rsidRDefault="002A170D" w:rsidP="002A170D">
            <w:pPr>
              <w:spacing w:after="0"/>
              <w:jc w:val="center"/>
              <w:rPr>
                <w:rFonts w:ascii="Arial Narrow" w:hAnsi="Arial Narrow"/>
                <w:b/>
              </w:rPr>
            </w:pPr>
            <w:r w:rsidRPr="005A7700">
              <w:rPr>
                <w:rFonts w:ascii="Arial Narrow" w:hAnsi="Arial Narrow"/>
                <w:b/>
              </w:rPr>
              <w:t>Sr. No.</w:t>
            </w:r>
          </w:p>
        </w:tc>
        <w:tc>
          <w:tcPr>
            <w:tcW w:w="1620" w:type="dxa"/>
            <w:vAlign w:val="center"/>
          </w:tcPr>
          <w:p w:rsidR="002A170D" w:rsidRPr="005A7700" w:rsidRDefault="002A170D" w:rsidP="002A170D">
            <w:pPr>
              <w:spacing w:after="0"/>
              <w:jc w:val="center"/>
              <w:rPr>
                <w:rFonts w:ascii="Arial Narrow" w:hAnsi="Arial Narrow"/>
                <w:b/>
              </w:rPr>
            </w:pPr>
            <w:r w:rsidRPr="005A7700">
              <w:rPr>
                <w:rFonts w:ascii="Arial Narrow" w:hAnsi="Arial Narrow"/>
                <w:b/>
              </w:rPr>
              <w:t>Type of Printer</w:t>
            </w:r>
          </w:p>
        </w:tc>
        <w:tc>
          <w:tcPr>
            <w:tcW w:w="2250" w:type="dxa"/>
            <w:vAlign w:val="center"/>
          </w:tcPr>
          <w:p w:rsidR="002A170D" w:rsidRPr="005A7700" w:rsidRDefault="002A170D" w:rsidP="002A170D">
            <w:pPr>
              <w:spacing w:after="0"/>
              <w:jc w:val="center"/>
              <w:rPr>
                <w:rFonts w:ascii="Arial Narrow" w:hAnsi="Arial Narrow"/>
                <w:b/>
              </w:rPr>
            </w:pPr>
            <w:r>
              <w:rPr>
                <w:rFonts w:ascii="Arial Narrow" w:hAnsi="Arial Narrow"/>
                <w:b/>
              </w:rPr>
              <w:t xml:space="preserve">Approx </w:t>
            </w:r>
            <w:r w:rsidRPr="005A7700">
              <w:rPr>
                <w:rFonts w:ascii="Arial Narrow" w:hAnsi="Arial Narrow"/>
                <w:b/>
              </w:rPr>
              <w:t>Qty.</w:t>
            </w:r>
          </w:p>
        </w:tc>
        <w:tc>
          <w:tcPr>
            <w:tcW w:w="1440" w:type="dxa"/>
            <w:vAlign w:val="center"/>
          </w:tcPr>
          <w:p w:rsidR="002A170D" w:rsidRPr="005A7700" w:rsidRDefault="002A170D" w:rsidP="002A170D">
            <w:pPr>
              <w:spacing w:after="0"/>
              <w:jc w:val="center"/>
              <w:rPr>
                <w:rFonts w:ascii="Arial Narrow" w:hAnsi="Arial Narrow"/>
                <w:b/>
              </w:rPr>
            </w:pPr>
            <w:r w:rsidRPr="00CC6231">
              <w:rPr>
                <w:rFonts w:ascii="Arial Narrow" w:hAnsi="Arial Narrow" w:cs="Arial"/>
                <w:b/>
                <w:sz w:val="24"/>
                <w:szCs w:val="24"/>
              </w:rPr>
              <w:t>Basic</w:t>
            </w:r>
            <w:r>
              <w:rPr>
                <w:rFonts w:ascii="Arial Narrow" w:hAnsi="Arial Narrow" w:cs="Arial"/>
                <w:sz w:val="24"/>
                <w:szCs w:val="24"/>
              </w:rPr>
              <w:t xml:space="preserve"> </w:t>
            </w:r>
            <w:r>
              <w:rPr>
                <w:rFonts w:ascii="Arial Narrow" w:hAnsi="Arial Narrow"/>
                <w:b/>
              </w:rPr>
              <w:t>Rate (Rs.) Per Qty (Exclusive of GST)</w:t>
            </w:r>
          </w:p>
        </w:tc>
        <w:tc>
          <w:tcPr>
            <w:tcW w:w="1710" w:type="dxa"/>
            <w:vAlign w:val="center"/>
          </w:tcPr>
          <w:p w:rsidR="002A170D" w:rsidRPr="005A7700" w:rsidRDefault="002A170D" w:rsidP="002A170D">
            <w:pPr>
              <w:spacing w:after="0"/>
              <w:jc w:val="center"/>
              <w:rPr>
                <w:rFonts w:ascii="Arial Narrow" w:hAnsi="Arial Narrow"/>
                <w:b/>
              </w:rPr>
            </w:pPr>
            <w:r>
              <w:rPr>
                <w:rFonts w:ascii="Arial Narrow" w:hAnsi="Arial Narrow"/>
                <w:b/>
              </w:rPr>
              <w:t xml:space="preserve">Total Basic </w:t>
            </w:r>
            <w:r w:rsidRPr="005A7700">
              <w:rPr>
                <w:rFonts w:ascii="Arial Narrow" w:hAnsi="Arial Narrow"/>
                <w:b/>
              </w:rPr>
              <w:t>Rate per Annum</w:t>
            </w:r>
            <w:r>
              <w:rPr>
                <w:rFonts w:ascii="Arial Narrow" w:hAnsi="Arial Narrow"/>
                <w:b/>
              </w:rPr>
              <w:t xml:space="preserve">            ( Exclusive of GST)</w:t>
            </w:r>
          </w:p>
        </w:tc>
        <w:tc>
          <w:tcPr>
            <w:tcW w:w="990" w:type="dxa"/>
          </w:tcPr>
          <w:p w:rsidR="002A170D" w:rsidRDefault="002A170D" w:rsidP="002A170D">
            <w:pPr>
              <w:spacing w:after="0"/>
              <w:jc w:val="center"/>
              <w:rPr>
                <w:rFonts w:ascii="Arial Narrow" w:hAnsi="Arial Narrow"/>
                <w:b/>
              </w:rPr>
            </w:pPr>
          </w:p>
          <w:p w:rsidR="002A170D" w:rsidRPr="002A170D" w:rsidRDefault="002A170D" w:rsidP="002A170D">
            <w:pPr>
              <w:jc w:val="center"/>
              <w:rPr>
                <w:rFonts w:ascii="Arial Narrow" w:hAnsi="Arial Narrow"/>
                <w:b/>
              </w:rPr>
            </w:pPr>
            <w:r w:rsidRPr="002A170D">
              <w:rPr>
                <w:rFonts w:ascii="Arial Narrow" w:hAnsi="Arial Narrow"/>
                <w:b/>
              </w:rPr>
              <w:t>GST</w:t>
            </w:r>
          </w:p>
        </w:tc>
        <w:tc>
          <w:tcPr>
            <w:tcW w:w="900" w:type="dxa"/>
          </w:tcPr>
          <w:p w:rsidR="002A170D" w:rsidRDefault="002A170D" w:rsidP="002A170D">
            <w:pPr>
              <w:spacing w:after="0"/>
              <w:jc w:val="center"/>
              <w:rPr>
                <w:rFonts w:ascii="Arial Narrow" w:hAnsi="Arial Narrow"/>
                <w:b/>
              </w:rPr>
            </w:pPr>
          </w:p>
          <w:p w:rsidR="002A170D" w:rsidRDefault="002A170D" w:rsidP="002A170D">
            <w:pPr>
              <w:spacing w:after="0"/>
              <w:jc w:val="center"/>
              <w:rPr>
                <w:rFonts w:ascii="Arial Narrow" w:hAnsi="Arial Narrow"/>
                <w:b/>
              </w:rPr>
            </w:pPr>
            <w:r>
              <w:rPr>
                <w:rFonts w:ascii="Arial Narrow" w:hAnsi="Arial Narrow"/>
                <w:b/>
              </w:rPr>
              <w:t>Total</w:t>
            </w:r>
          </w:p>
        </w:tc>
      </w:tr>
      <w:tr w:rsidR="002A170D" w:rsidRPr="005A7700" w:rsidTr="002A170D">
        <w:tc>
          <w:tcPr>
            <w:tcW w:w="828" w:type="dxa"/>
          </w:tcPr>
          <w:p w:rsidR="002A170D" w:rsidRPr="005A7700" w:rsidRDefault="002A170D" w:rsidP="002A170D">
            <w:pPr>
              <w:spacing w:after="0"/>
              <w:jc w:val="center"/>
              <w:rPr>
                <w:rFonts w:ascii="Arial Narrow" w:hAnsi="Arial Narrow"/>
              </w:rPr>
            </w:pPr>
          </w:p>
          <w:p w:rsidR="002A170D" w:rsidRPr="005A7700" w:rsidRDefault="002A170D" w:rsidP="002A170D">
            <w:pPr>
              <w:spacing w:after="0"/>
              <w:jc w:val="center"/>
              <w:rPr>
                <w:rFonts w:ascii="Arial Narrow" w:hAnsi="Arial Narrow"/>
              </w:rPr>
            </w:pPr>
            <w:r>
              <w:rPr>
                <w:rFonts w:ascii="Arial Narrow" w:hAnsi="Arial Narrow"/>
              </w:rPr>
              <w:t>1</w:t>
            </w:r>
            <w:r w:rsidRPr="005A7700">
              <w:rPr>
                <w:rFonts w:ascii="Arial Narrow" w:hAnsi="Arial Narrow"/>
              </w:rPr>
              <w:t>)</w:t>
            </w:r>
          </w:p>
          <w:p w:rsidR="002A170D" w:rsidRPr="005A7700" w:rsidRDefault="002A170D" w:rsidP="002A170D">
            <w:pPr>
              <w:spacing w:after="0"/>
              <w:jc w:val="center"/>
              <w:rPr>
                <w:rFonts w:ascii="Arial Narrow" w:hAnsi="Arial Narrow"/>
              </w:rPr>
            </w:pPr>
          </w:p>
        </w:tc>
        <w:tc>
          <w:tcPr>
            <w:tcW w:w="1620" w:type="dxa"/>
          </w:tcPr>
          <w:p w:rsidR="002A170D" w:rsidRPr="00DB0DA0"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proofErr w:type="spellStart"/>
            <w:r w:rsidRPr="00DB0DA0">
              <w:rPr>
                <w:rFonts w:ascii="Arial Narrow" w:hAnsi="Arial Narrow"/>
                <w:b/>
              </w:rPr>
              <w:t>Laser</w:t>
            </w:r>
            <w:r>
              <w:rPr>
                <w:rFonts w:ascii="Arial Narrow" w:hAnsi="Arial Narrow"/>
                <w:b/>
              </w:rPr>
              <w:t>jet</w:t>
            </w:r>
            <w:proofErr w:type="spellEnd"/>
            <w:r w:rsidRPr="00DB0DA0">
              <w:rPr>
                <w:rFonts w:ascii="Arial Narrow" w:hAnsi="Arial Narrow"/>
                <w:b/>
              </w:rPr>
              <w:t xml:space="preserve"> </w:t>
            </w:r>
          </w:p>
        </w:tc>
        <w:tc>
          <w:tcPr>
            <w:tcW w:w="2250" w:type="dxa"/>
            <w:vAlign w:val="center"/>
          </w:tcPr>
          <w:p w:rsidR="002A170D" w:rsidRDefault="002A170D" w:rsidP="002A170D">
            <w:pPr>
              <w:spacing w:after="0"/>
              <w:jc w:val="center"/>
              <w:rPr>
                <w:rFonts w:ascii="Arial Narrow" w:hAnsi="Arial Narrow"/>
                <w:b/>
              </w:rPr>
            </w:pPr>
          </w:p>
          <w:p w:rsidR="002A170D" w:rsidRPr="0080372B" w:rsidRDefault="00B31B97" w:rsidP="002A170D">
            <w:pPr>
              <w:spacing w:after="0"/>
              <w:jc w:val="center"/>
              <w:rPr>
                <w:rFonts w:ascii="Arial Narrow" w:hAnsi="Arial Narrow"/>
                <w:b/>
              </w:rPr>
            </w:pPr>
            <w:r>
              <w:rPr>
                <w:rFonts w:ascii="Arial Narrow" w:hAnsi="Arial Narrow"/>
                <w:b/>
              </w:rPr>
              <w:t>321</w:t>
            </w:r>
          </w:p>
          <w:p w:rsidR="002A170D" w:rsidRPr="0080372B" w:rsidRDefault="002A170D" w:rsidP="002A170D">
            <w:pPr>
              <w:spacing w:after="0"/>
              <w:jc w:val="center"/>
              <w:rPr>
                <w:rFonts w:ascii="Arial Narrow" w:hAnsi="Arial Narrow"/>
                <w:b/>
              </w:rPr>
            </w:pP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jc w:val="center"/>
              <w:rPr>
                <w:rFonts w:ascii="Arial Narrow" w:hAnsi="Arial Narrow"/>
              </w:rPr>
            </w:pPr>
          </w:p>
        </w:tc>
        <w:tc>
          <w:tcPr>
            <w:tcW w:w="990" w:type="dxa"/>
          </w:tcPr>
          <w:p w:rsidR="002A170D" w:rsidRPr="005A7700" w:rsidRDefault="002A170D" w:rsidP="002A170D">
            <w:pPr>
              <w:spacing w:after="0"/>
              <w:jc w:val="center"/>
              <w:rPr>
                <w:rFonts w:ascii="Arial Narrow" w:hAnsi="Arial Narrow"/>
              </w:rPr>
            </w:pPr>
          </w:p>
        </w:tc>
        <w:tc>
          <w:tcPr>
            <w:tcW w:w="900" w:type="dxa"/>
          </w:tcPr>
          <w:p w:rsidR="002A170D" w:rsidRPr="005A7700" w:rsidRDefault="002A170D" w:rsidP="002A170D">
            <w:pPr>
              <w:spacing w:after="0"/>
              <w:jc w:val="center"/>
              <w:rPr>
                <w:rFonts w:ascii="Arial Narrow" w:hAnsi="Arial Narrow"/>
              </w:rPr>
            </w:pPr>
          </w:p>
        </w:tc>
      </w:tr>
      <w:tr w:rsidR="002A170D" w:rsidRPr="005A7700" w:rsidTr="002A170D">
        <w:tc>
          <w:tcPr>
            <w:tcW w:w="828" w:type="dxa"/>
          </w:tcPr>
          <w:p w:rsidR="002A170D" w:rsidRPr="005A7700" w:rsidRDefault="002A170D" w:rsidP="002A170D">
            <w:pPr>
              <w:spacing w:after="0"/>
              <w:jc w:val="center"/>
              <w:rPr>
                <w:rFonts w:ascii="Arial Narrow" w:hAnsi="Arial Narrow"/>
              </w:rPr>
            </w:pPr>
          </w:p>
          <w:p w:rsidR="002A170D" w:rsidRPr="005A7700" w:rsidRDefault="002A170D" w:rsidP="002A170D">
            <w:pPr>
              <w:spacing w:after="0"/>
              <w:jc w:val="center"/>
              <w:rPr>
                <w:rFonts w:ascii="Arial Narrow" w:hAnsi="Arial Narrow"/>
              </w:rPr>
            </w:pPr>
            <w:r>
              <w:rPr>
                <w:rFonts w:ascii="Arial Narrow" w:hAnsi="Arial Narrow"/>
              </w:rPr>
              <w:t>2</w:t>
            </w:r>
            <w:r w:rsidRPr="005A7700">
              <w:rPr>
                <w:rFonts w:ascii="Arial Narrow" w:hAnsi="Arial Narrow"/>
              </w:rPr>
              <w:t>)</w:t>
            </w:r>
          </w:p>
          <w:p w:rsidR="002A170D" w:rsidRPr="005A7700" w:rsidRDefault="002A170D" w:rsidP="002A170D">
            <w:pPr>
              <w:spacing w:after="0"/>
              <w:jc w:val="center"/>
              <w:rPr>
                <w:rFonts w:ascii="Arial Narrow" w:hAnsi="Arial Narrow"/>
              </w:rPr>
            </w:pPr>
          </w:p>
        </w:tc>
        <w:tc>
          <w:tcPr>
            <w:tcW w:w="1620" w:type="dxa"/>
          </w:tcPr>
          <w:p w:rsidR="002A170D" w:rsidRPr="00DB0DA0"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proofErr w:type="spellStart"/>
            <w:r w:rsidRPr="00DB0DA0">
              <w:rPr>
                <w:rFonts w:ascii="Arial Narrow" w:hAnsi="Arial Narrow"/>
                <w:b/>
              </w:rPr>
              <w:t>Deskjet</w:t>
            </w:r>
            <w:proofErr w:type="spellEnd"/>
            <w:r w:rsidRPr="00DB0DA0">
              <w:rPr>
                <w:rFonts w:ascii="Arial Narrow" w:hAnsi="Arial Narrow"/>
                <w:b/>
              </w:rPr>
              <w:t xml:space="preserve">      </w:t>
            </w:r>
          </w:p>
        </w:tc>
        <w:tc>
          <w:tcPr>
            <w:tcW w:w="2250" w:type="dxa"/>
            <w:vAlign w:val="center"/>
          </w:tcPr>
          <w:p w:rsidR="002A170D" w:rsidRPr="0080372B" w:rsidRDefault="00B31B97" w:rsidP="002A170D">
            <w:pPr>
              <w:spacing w:after="0"/>
              <w:jc w:val="center"/>
              <w:rPr>
                <w:rFonts w:ascii="Arial Narrow" w:hAnsi="Arial Narrow"/>
                <w:b/>
              </w:rPr>
            </w:pPr>
            <w:r>
              <w:rPr>
                <w:rFonts w:ascii="Arial Narrow" w:hAnsi="Arial Narrow"/>
                <w:b/>
              </w:rPr>
              <w:t>245</w:t>
            </w: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jc w:val="center"/>
              <w:rPr>
                <w:rFonts w:ascii="Arial Narrow" w:hAnsi="Arial Narrow"/>
              </w:rPr>
            </w:pPr>
          </w:p>
        </w:tc>
        <w:tc>
          <w:tcPr>
            <w:tcW w:w="990" w:type="dxa"/>
          </w:tcPr>
          <w:p w:rsidR="002A170D" w:rsidRPr="005A7700" w:rsidRDefault="002A170D" w:rsidP="002A170D">
            <w:pPr>
              <w:spacing w:after="0"/>
              <w:jc w:val="center"/>
              <w:rPr>
                <w:rFonts w:ascii="Arial Narrow" w:hAnsi="Arial Narrow"/>
              </w:rPr>
            </w:pPr>
          </w:p>
        </w:tc>
        <w:tc>
          <w:tcPr>
            <w:tcW w:w="900" w:type="dxa"/>
          </w:tcPr>
          <w:p w:rsidR="002A170D" w:rsidRPr="005A7700" w:rsidRDefault="002A170D" w:rsidP="002A170D">
            <w:pPr>
              <w:spacing w:after="0"/>
              <w:jc w:val="center"/>
              <w:rPr>
                <w:rFonts w:ascii="Arial Narrow" w:hAnsi="Arial Narrow"/>
              </w:rPr>
            </w:pPr>
          </w:p>
        </w:tc>
      </w:tr>
      <w:tr w:rsidR="002A170D" w:rsidRPr="005A7700" w:rsidTr="002A170D">
        <w:tc>
          <w:tcPr>
            <w:tcW w:w="828" w:type="dxa"/>
          </w:tcPr>
          <w:p w:rsidR="002A170D" w:rsidRPr="005A7700" w:rsidRDefault="002A170D" w:rsidP="002A170D">
            <w:pPr>
              <w:spacing w:after="0"/>
              <w:jc w:val="center"/>
              <w:rPr>
                <w:rFonts w:ascii="Arial Narrow" w:hAnsi="Arial Narrow"/>
              </w:rPr>
            </w:pPr>
          </w:p>
          <w:p w:rsidR="002A170D" w:rsidRPr="005A7700" w:rsidRDefault="002A170D" w:rsidP="002A170D">
            <w:pPr>
              <w:spacing w:after="0"/>
              <w:jc w:val="center"/>
              <w:rPr>
                <w:rFonts w:ascii="Arial Narrow" w:hAnsi="Arial Narrow"/>
              </w:rPr>
            </w:pPr>
            <w:r>
              <w:rPr>
                <w:rFonts w:ascii="Arial Narrow" w:hAnsi="Arial Narrow"/>
              </w:rPr>
              <w:t>3</w:t>
            </w:r>
            <w:r w:rsidRPr="005A7700">
              <w:rPr>
                <w:rFonts w:ascii="Arial Narrow" w:hAnsi="Arial Narrow"/>
              </w:rPr>
              <w:t>)</w:t>
            </w:r>
          </w:p>
          <w:p w:rsidR="002A170D" w:rsidRPr="005A7700" w:rsidRDefault="002A170D" w:rsidP="002A170D">
            <w:pPr>
              <w:spacing w:after="0"/>
              <w:jc w:val="center"/>
              <w:rPr>
                <w:rFonts w:ascii="Arial Narrow" w:hAnsi="Arial Narrow"/>
              </w:rPr>
            </w:pPr>
          </w:p>
        </w:tc>
        <w:tc>
          <w:tcPr>
            <w:tcW w:w="1620" w:type="dxa"/>
          </w:tcPr>
          <w:p w:rsidR="002A170D" w:rsidRPr="00DB0DA0"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proofErr w:type="spellStart"/>
            <w:r w:rsidRPr="00DB0DA0">
              <w:rPr>
                <w:rFonts w:ascii="Arial Narrow" w:hAnsi="Arial Narrow"/>
                <w:b/>
              </w:rPr>
              <w:t>Officejet</w:t>
            </w:r>
            <w:proofErr w:type="spellEnd"/>
            <w:r w:rsidRPr="00DB0DA0">
              <w:rPr>
                <w:rFonts w:ascii="Arial Narrow" w:hAnsi="Arial Narrow"/>
                <w:b/>
              </w:rPr>
              <w:t xml:space="preserve">     </w:t>
            </w:r>
          </w:p>
        </w:tc>
        <w:tc>
          <w:tcPr>
            <w:tcW w:w="2250" w:type="dxa"/>
            <w:vAlign w:val="center"/>
          </w:tcPr>
          <w:p w:rsidR="002A170D" w:rsidRPr="0080372B" w:rsidRDefault="00B31B97" w:rsidP="002A170D">
            <w:pPr>
              <w:spacing w:after="0"/>
              <w:jc w:val="center"/>
              <w:rPr>
                <w:rFonts w:ascii="Arial Narrow" w:hAnsi="Arial Narrow"/>
                <w:b/>
              </w:rPr>
            </w:pPr>
            <w:r>
              <w:rPr>
                <w:rFonts w:ascii="Arial Narrow" w:hAnsi="Arial Narrow"/>
                <w:b/>
              </w:rPr>
              <w:t>11</w:t>
            </w: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jc w:val="center"/>
              <w:rPr>
                <w:rFonts w:ascii="Arial Narrow" w:hAnsi="Arial Narrow"/>
              </w:rPr>
            </w:pPr>
          </w:p>
        </w:tc>
        <w:tc>
          <w:tcPr>
            <w:tcW w:w="990" w:type="dxa"/>
          </w:tcPr>
          <w:p w:rsidR="002A170D" w:rsidRPr="005A7700" w:rsidRDefault="002A170D" w:rsidP="002A170D">
            <w:pPr>
              <w:spacing w:after="0"/>
              <w:jc w:val="center"/>
              <w:rPr>
                <w:rFonts w:ascii="Arial Narrow" w:hAnsi="Arial Narrow"/>
              </w:rPr>
            </w:pPr>
          </w:p>
        </w:tc>
        <w:tc>
          <w:tcPr>
            <w:tcW w:w="900" w:type="dxa"/>
          </w:tcPr>
          <w:p w:rsidR="002A170D" w:rsidRPr="005A7700" w:rsidRDefault="002A170D" w:rsidP="002A170D">
            <w:pPr>
              <w:spacing w:after="0"/>
              <w:jc w:val="center"/>
              <w:rPr>
                <w:rFonts w:ascii="Arial Narrow" w:hAnsi="Arial Narrow"/>
              </w:rPr>
            </w:pPr>
          </w:p>
        </w:tc>
      </w:tr>
      <w:tr w:rsidR="002A170D" w:rsidRPr="005A7700" w:rsidTr="002A170D">
        <w:tc>
          <w:tcPr>
            <w:tcW w:w="828" w:type="dxa"/>
          </w:tcPr>
          <w:p w:rsidR="002A170D" w:rsidRDefault="002A170D" w:rsidP="002A170D">
            <w:pPr>
              <w:spacing w:after="0"/>
              <w:jc w:val="center"/>
              <w:rPr>
                <w:rFonts w:ascii="Arial Narrow" w:hAnsi="Arial Narrow"/>
              </w:rPr>
            </w:pPr>
          </w:p>
          <w:p w:rsidR="002A170D" w:rsidRDefault="002A170D" w:rsidP="002A170D">
            <w:pPr>
              <w:spacing w:after="0"/>
              <w:jc w:val="center"/>
              <w:rPr>
                <w:rFonts w:ascii="Arial Narrow" w:hAnsi="Arial Narrow"/>
              </w:rPr>
            </w:pPr>
            <w:r>
              <w:rPr>
                <w:rFonts w:ascii="Arial Narrow" w:hAnsi="Arial Narrow"/>
              </w:rPr>
              <w:t>4)</w:t>
            </w:r>
          </w:p>
          <w:p w:rsidR="002A170D" w:rsidRPr="005A7700" w:rsidRDefault="002A170D" w:rsidP="002A170D">
            <w:pPr>
              <w:spacing w:after="0"/>
              <w:jc w:val="center"/>
              <w:rPr>
                <w:rFonts w:ascii="Arial Narrow" w:hAnsi="Arial Narrow"/>
              </w:rPr>
            </w:pPr>
          </w:p>
        </w:tc>
        <w:tc>
          <w:tcPr>
            <w:tcW w:w="1620" w:type="dxa"/>
          </w:tcPr>
          <w:p w:rsidR="002A170D"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proofErr w:type="spellStart"/>
            <w:r>
              <w:rPr>
                <w:rFonts w:ascii="Arial Narrow" w:hAnsi="Arial Narrow"/>
                <w:b/>
              </w:rPr>
              <w:t>Colour</w:t>
            </w:r>
            <w:proofErr w:type="spellEnd"/>
            <w:r>
              <w:rPr>
                <w:rFonts w:ascii="Arial Narrow" w:hAnsi="Arial Narrow"/>
                <w:b/>
              </w:rPr>
              <w:t xml:space="preserve"> </w:t>
            </w:r>
            <w:proofErr w:type="spellStart"/>
            <w:r>
              <w:rPr>
                <w:rFonts w:ascii="Arial Narrow" w:hAnsi="Arial Narrow"/>
                <w:b/>
              </w:rPr>
              <w:t>Laserjet</w:t>
            </w:r>
            <w:proofErr w:type="spellEnd"/>
          </w:p>
        </w:tc>
        <w:tc>
          <w:tcPr>
            <w:tcW w:w="2250" w:type="dxa"/>
            <w:vAlign w:val="center"/>
          </w:tcPr>
          <w:p w:rsidR="002A170D" w:rsidRPr="0080372B" w:rsidRDefault="00B31B97" w:rsidP="002A170D">
            <w:pPr>
              <w:spacing w:after="0"/>
              <w:jc w:val="center"/>
              <w:rPr>
                <w:rFonts w:ascii="Arial Narrow" w:hAnsi="Arial Narrow"/>
                <w:b/>
              </w:rPr>
            </w:pPr>
            <w:r>
              <w:rPr>
                <w:rFonts w:ascii="Arial Narrow" w:hAnsi="Arial Narrow"/>
                <w:b/>
              </w:rPr>
              <w:t>2</w:t>
            </w: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rPr>
                <w:rFonts w:ascii="Arial Narrow" w:hAnsi="Arial Narrow"/>
              </w:rPr>
            </w:pPr>
          </w:p>
        </w:tc>
        <w:tc>
          <w:tcPr>
            <w:tcW w:w="990" w:type="dxa"/>
          </w:tcPr>
          <w:p w:rsidR="002A170D" w:rsidRPr="005A7700" w:rsidRDefault="002A170D" w:rsidP="002A170D">
            <w:pPr>
              <w:spacing w:after="0"/>
              <w:rPr>
                <w:rFonts w:ascii="Arial Narrow" w:hAnsi="Arial Narrow"/>
              </w:rPr>
            </w:pPr>
          </w:p>
        </w:tc>
        <w:tc>
          <w:tcPr>
            <w:tcW w:w="900" w:type="dxa"/>
          </w:tcPr>
          <w:p w:rsidR="002A170D" w:rsidRPr="005A7700" w:rsidRDefault="002A170D" w:rsidP="002A170D">
            <w:pPr>
              <w:spacing w:after="0"/>
              <w:rPr>
                <w:rFonts w:ascii="Arial Narrow" w:hAnsi="Arial Narrow"/>
              </w:rPr>
            </w:pPr>
          </w:p>
        </w:tc>
      </w:tr>
      <w:tr w:rsidR="002A170D" w:rsidRPr="005A7700" w:rsidTr="002A170D">
        <w:tc>
          <w:tcPr>
            <w:tcW w:w="828" w:type="dxa"/>
          </w:tcPr>
          <w:p w:rsidR="002A170D" w:rsidRPr="005A7700" w:rsidRDefault="002A170D" w:rsidP="002A170D">
            <w:pPr>
              <w:spacing w:after="0"/>
              <w:jc w:val="center"/>
              <w:rPr>
                <w:rFonts w:ascii="Arial Narrow" w:hAnsi="Arial Narrow"/>
              </w:rPr>
            </w:pPr>
          </w:p>
          <w:p w:rsidR="002A170D" w:rsidRPr="005A7700" w:rsidRDefault="002A170D" w:rsidP="002A170D">
            <w:pPr>
              <w:spacing w:after="0"/>
              <w:jc w:val="center"/>
              <w:rPr>
                <w:rFonts w:ascii="Arial Narrow" w:hAnsi="Arial Narrow"/>
              </w:rPr>
            </w:pPr>
            <w:r>
              <w:rPr>
                <w:rFonts w:ascii="Arial Narrow" w:hAnsi="Arial Narrow"/>
              </w:rPr>
              <w:t>5</w:t>
            </w:r>
            <w:r w:rsidRPr="005A7700">
              <w:rPr>
                <w:rFonts w:ascii="Arial Narrow" w:hAnsi="Arial Narrow"/>
              </w:rPr>
              <w:t>)</w:t>
            </w:r>
          </w:p>
          <w:p w:rsidR="002A170D" w:rsidRPr="005A7700" w:rsidRDefault="002A170D" w:rsidP="002A170D">
            <w:pPr>
              <w:spacing w:after="0"/>
              <w:jc w:val="center"/>
              <w:rPr>
                <w:rFonts w:ascii="Arial Narrow" w:hAnsi="Arial Narrow"/>
              </w:rPr>
            </w:pPr>
          </w:p>
        </w:tc>
        <w:tc>
          <w:tcPr>
            <w:tcW w:w="1620" w:type="dxa"/>
          </w:tcPr>
          <w:p w:rsidR="002A170D" w:rsidRPr="00DB0DA0"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r>
              <w:rPr>
                <w:rFonts w:ascii="Arial Narrow" w:hAnsi="Arial Narrow"/>
                <w:b/>
              </w:rPr>
              <w:t>Dot Matrix</w:t>
            </w:r>
          </w:p>
        </w:tc>
        <w:tc>
          <w:tcPr>
            <w:tcW w:w="2250" w:type="dxa"/>
            <w:vAlign w:val="center"/>
          </w:tcPr>
          <w:p w:rsidR="002A170D" w:rsidRPr="0080372B" w:rsidRDefault="00B31B97" w:rsidP="002A170D">
            <w:pPr>
              <w:spacing w:after="0"/>
              <w:jc w:val="center"/>
              <w:rPr>
                <w:rFonts w:ascii="Arial Narrow" w:hAnsi="Arial Narrow"/>
                <w:b/>
              </w:rPr>
            </w:pPr>
            <w:r>
              <w:rPr>
                <w:rFonts w:ascii="Arial Narrow" w:hAnsi="Arial Narrow"/>
                <w:b/>
              </w:rPr>
              <w:t>3</w:t>
            </w: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rPr>
                <w:rFonts w:ascii="Arial Narrow" w:hAnsi="Arial Narrow"/>
              </w:rPr>
            </w:pPr>
          </w:p>
        </w:tc>
        <w:tc>
          <w:tcPr>
            <w:tcW w:w="990" w:type="dxa"/>
          </w:tcPr>
          <w:p w:rsidR="002A170D" w:rsidRPr="005A7700" w:rsidRDefault="002A170D" w:rsidP="002A170D">
            <w:pPr>
              <w:spacing w:after="0"/>
              <w:rPr>
                <w:rFonts w:ascii="Arial Narrow" w:hAnsi="Arial Narrow"/>
              </w:rPr>
            </w:pPr>
          </w:p>
        </w:tc>
        <w:tc>
          <w:tcPr>
            <w:tcW w:w="900" w:type="dxa"/>
          </w:tcPr>
          <w:p w:rsidR="002A170D" w:rsidRPr="005A7700" w:rsidRDefault="002A170D" w:rsidP="002A170D">
            <w:pPr>
              <w:spacing w:after="0"/>
              <w:rPr>
                <w:rFonts w:ascii="Arial Narrow" w:hAnsi="Arial Narrow"/>
              </w:rPr>
            </w:pPr>
          </w:p>
        </w:tc>
      </w:tr>
      <w:tr w:rsidR="002A170D" w:rsidRPr="005A7700" w:rsidTr="002A170D">
        <w:trPr>
          <w:trHeight w:val="842"/>
        </w:trPr>
        <w:tc>
          <w:tcPr>
            <w:tcW w:w="828" w:type="dxa"/>
          </w:tcPr>
          <w:p w:rsidR="002A170D" w:rsidRDefault="002A170D" w:rsidP="002A170D">
            <w:pPr>
              <w:spacing w:after="0"/>
              <w:jc w:val="center"/>
              <w:rPr>
                <w:rFonts w:ascii="Arial Narrow" w:hAnsi="Arial Narrow"/>
              </w:rPr>
            </w:pPr>
          </w:p>
          <w:p w:rsidR="002A170D" w:rsidRPr="005A7700" w:rsidRDefault="002A170D" w:rsidP="002A170D">
            <w:pPr>
              <w:spacing w:after="0"/>
              <w:jc w:val="center"/>
              <w:rPr>
                <w:rFonts w:ascii="Arial Narrow" w:hAnsi="Arial Narrow"/>
              </w:rPr>
            </w:pPr>
            <w:r>
              <w:rPr>
                <w:rFonts w:ascii="Arial Narrow" w:hAnsi="Arial Narrow"/>
              </w:rPr>
              <w:t>6)</w:t>
            </w:r>
          </w:p>
        </w:tc>
        <w:tc>
          <w:tcPr>
            <w:tcW w:w="1620" w:type="dxa"/>
          </w:tcPr>
          <w:p w:rsidR="002A170D" w:rsidRDefault="002A170D" w:rsidP="002A170D">
            <w:pPr>
              <w:spacing w:after="0"/>
              <w:jc w:val="both"/>
              <w:rPr>
                <w:rFonts w:ascii="Arial Narrow" w:hAnsi="Arial Narrow"/>
                <w:b/>
              </w:rPr>
            </w:pPr>
          </w:p>
          <w:p w:rsidR="002A170D" w:rsidRPr="00DB0DA0" w:rsidRDefault="002A170D" w:rsidP="002A170D">
            <w:pPr>
              <w:spacing w:after="0"/>
              <w:jc w:val="both"/>
              <w:rPr>
                <w:rFonts w:ascii="Arial Narrow" w:hAnsi="Arial Narrow"/>
                <w:b/>
              </w:rPr>
            </w:pPr>
            <w:r>
              <w:rPr>
                <w:rFonts w:ascii="Arial Narrow" w:hAnsi="Arial Narrow"/>
                <w:b/>
              </w:rPr>
              <w:t>Computers</w:t>
            </w:r>
          </w:p>
        </w:tc>
        <w:tc>
          <w:tcPr>
            <w:tcW w:w="2250" w:type="dxa"/>
            <w:vAlign w:val="center"/>
          </w:tcPr>
          <w:p w:rsidR="002A170D" w:rsidRPr="0080372B" w:rsidRDefault="00B31B97" w:rsidP="002A170D">
            <w:pPr>
              <w:spacing w:after="0"/>
              <w:jc w:val="center"/>
              <w:rPr>
                <w:rFonts w:ascii="Arial Narrow" w:hAnsi="Arial Narrow"/>
                <w:b/>
              </w:rPr>
            </w:pPr>
            <w:r>
              <w:rPr>
                <w:rFonts w:ascii="Arial Narrow" w:hAnsi="Arial Narrow"/>
                <w:b/>
              </w:rPr>
              <w:t>1188</w:t>
            </w:r>
          </w:p>
        </w:tc>
        <w:tc>
          <w:tcPr>
            <w:tcW w:w="1440" w:type="dxa"/>
            <w:vAlign w:val="center"/>
          </w:tcPr>
          <w:p w:rsidR="002A170D" w:rsidRPr="005A7700" w:rsidRDefault="002A170D" w:rsidP="002A170D">
            <w:pPr>
              <w:spacing w:after="0"/>
              <w:jc w:val="center"/>
              <w:rPr>
                <w:rFonts w:ascii="Arial Narrow" w:hAnsi="Arial Narrow"/>
              </w:rPr>
            </w:pPr>
          </w:p>
        </w:tc>
        <w:tc>
          <w:tcPr>
            <w:tcW w:w="1710" w:type="dxa"/>
            <w:vAlign w:val="center"/>
          </w:tcPr>
          <w:p w:rsidR="002A170D" w:rsidRPr="005A7700" w:rsidRDefault="002A170D" w:rsidP="002A170D">
            <w:pPr>
              <w:spacing w:after="0"/>
              <w:rPr>
                <w:rFonts w:ascii="Arial Narrow" w:hAnsi="Arial Narrow"/>
              </w:rPr>
            </w:pPr>
          </w:p>
        </w:tc>
        <w:tc>
          <w:tcPr>
            <w:tcW w:w="990" w:type="dxa"/>
          </w:tcPr>
          <w:p w:rsidR="002A170D" w:rsidRPr="005A7700" w:rsidRDefault="002A170D" w:rsidP="002A170D">
            <w:pPr>
              <w:spacing w:after="0"/>
              <w:rPr>
                <w:rFonts w:ascii="Arial Narrow" w:hAnsi="Arial Narrow"/>
              </w:rPr>
            </w:pPr>
          </w:p>
        </w:tc>
        <w:tc>
          <w:tcPr>
            <w:tcW w:w="900" w:type="dxa"/>
          </w:tcPr>
          <w:p w:rsidR="002A170D" w:rsidRPr="005A7700" w:rsidRDefault="002A170D" w:rsidP="002A170D">
            <w:pPr>
              <w:spacing w:after="0"/>
              <w:rPr>
                <w:rFonts w:ascii="Arial Narrow" w:hAnsi="Arial Narrow"/>
              </w:rPr>
            </w:pPr>
          </w:p>
        </w:tc>
      </w:tr>
      <w:tr w:rsidR="002A170D" w:rsidRPr="005A7700" w:rsidTr="002A170D">
        <w:trPr>
          <w:trHeight w:val="767"/>
        </w:trPr>
        <w:tc>
          <w:tcPr>
            <w:tcW w:w="828" w:type="dxa"/>
          </w:tcPr>
          <w:p w:rsidR="002A170D" w:rsidRPr="005A7700" w:rsidRDefault="002A170D" w:rsidP="002A170D">
            <w:pPr>
              <w:spacing w:after="0"/>
              <w:jc w:val="center"/>
              <w:rPr>
                <w:rFonts w:ascii="Arial Narrow" w:hAnsi="Arial Narrow"/>
              </w:rPr>
            </w:pPr>
          </w:p>
        </w:tc>
        <w:tc>
          <w:tcPr>
            <w:tcW w:w="1620" w:type="dxa"/>
          </w:tcPr>
          <w:p w:rsidR="002A170D" w:rsidRPr="005A7700" w:rsidRDefault="002A170D" w:rsidP="002A170D">
            <w:pPr>
              <w:spacing w:after="0"/>
              <w:jc w:val="both"/>
              <w:rPr>
                <w:rFonts w:ascii="Arial Narrow" w:hAnsi="Arial Narrow"/>
              </w:rPr>
            </w:pPr>
          </w:p>
        </w:tc>
        <w:tc>
          <w:tcPr>
            <w:tcW w:w="3690" w:type="dxa"/>
            <w:gridSpan w:val="2"/>
            <w:vAlign w:val="center"/>
          </w:tcPr>
          <w:p w:rsidR="002A170D" w:rsidRDefault="002A170D" w:rsidP="002A170D">
            <w:pPr>
              <w:spacing w:after="0"/>
              <w:jc w:val="center"/>
              <w:rPr>
                <w:rFonts w:ascii="Arial Narrow" w:hAnsi="Arial Narrow"/>
              </w:rPr>
            </w:pPr>
            <w:r>
              <w:rPr>
                <w:rFonts w:ascii="Arial Narrow" w:hAnsi="Arial Narrow"/>
              </w:rPr>
              <w:t xml:space="preserve">          </w:t>
            </w:r>
          </w:p>
          <w:p w:rsidR="002A170D" w:rsidRPr="0004585D" w:rsidRDefault="002A170D" w:rsidP="002A170D">
            <w:pPr>
              <w:spacing w:after="0"/>
              <w:jc w:val="center"/>
              <w:rPr>
                <w:rFonts w:ascii="Arial Narrow" w:hAnsi="Arial Narrow"/>
                <w:b/>
              </w:rPr>
            </w:pPr>
            <w:r>
              <w:rPr>
                <w:rFonts w:ascii="Arial Narrow" w:hAnsi="Arial Narrow"/>
                <w:b/>
              </w:rPr>
              <w:t xml:space="preserve"> TOTAL Basic Rate</w:t>
            </w:r>
            <w:r w:rsidRPr="0004585D">
              <w:rPr>
                <w:rFonts w:ascii="Arial Narrow" w:hAnsi="Arial Narrow"/>
                <w:b/>
              </w:rPr>
              <w:t xml:space="preserve"> per annum:</w:t>
            </w:r>
          </w:p>
          <w:p w:rsidR="002A170D" w:rsidRPr="002A170D" w:rsidRDefault="002A170D" w:rsidP="002A170D">
            <w:pPr>
              <w:spacing w:after="0"/>
              <w:jc w:val="center"/>
              <w:rPr>
                <w:rFonts w:ascii="Arial Narrow" w:hAnsi="Arial Narrow"/>
                <w:b/>
              </w:rPr>
            </w:pPr>
            <w:r w:rsidRPr="002A170D">
              <w:rPr>
                <w:rFonts w:ascii="Arial Narrow" w:hAnsi="Arial Narrow"/>
                <w:b/>
              </w:rPr>
              <w:t>(Exclusive of GST)</w:t>
            </w:r>
          </w:p>
        </w:tc>
        <w:tc>
          <w:tcPr>
            <w:tcW w:w="1710" w:type="dxa"/>
            <w:vAlign w:val="center"/>
          </w:tcPr>
          <w:p w:rsidR="002A170D" w:rsidRPr="005A7700" w:rsidRDefault="002A170D" w:rsidP="002A170D">
            <w:pPr>
              <w:spacing w:after="0"/>
              <w:rPr>
                <w:rFonts w:ascii="Arial Narrow" w:hAnsi="Arial Narrow"/>
              </w:rPr>
            </w:pPr>
          </w:p>
        </w:tc>
        <w:tc>
          <w:tcPr>
            <w:tcW w:w="990" w:type="dxa"/>
          </w:tcPr>
          <w:p w:rsidR="002A170D" w:rsidRPr="005A7700" w:rsidRDefault="002A170D" w:rsidP="002A170D">
            <w:pPr>
              <w:spacing w:after="0"/>
              <w:rPr>
                <w:rFonts w:ascii="Arial Narrow" w:hAnsi="Arial Narrow"/>
              </w:rPr>
            </w:pPr>
          </w:p>
        </w:tc>
        <w:tc>
          <w:tcPr>
            <w:tcW w:w="900" w:type="dxa"/>
          </w:tcPr>
          <w:p w:rsidR="002A170D" w:rsidRPr="005A7700" w:rsidRDefault="002A170D" w:rsidP="002A170D">
            <w:pPr>
              <w:spacing w:after="0"/>
              <w:rPr>
                <w:rFonts w:ascii="Arial Narrow" w:hAnsi="Arial Narrow"/>
              </w:rPr>
            </w:pPr>
          </w:p>
        </w:tc>
      </w:tr>
    </w:tbl>
    <w:p w:rsidR="00A029F1" w:rsidRPr="005A7700" w:rsidRDefault="00A029F1" w:rsidP="00A029F1">
      <w:pPr>
        <w:spacing w:after="0"/>
        <w:rPr>
          <w:rFonts w:ascii="Arial Narrow" w:hAnsi="Arial Narrow"/>
          <w:u w:val="single"/>
        </w:rPr>
      </w:pPr>
    </w:p>
    <w:p w:rsidR="00A029F1" w:rsidRPr="005A7700" w:rsidRDefault="00A029F1" w:rsidP="00A029F1">
      <w:pPr>
        <w:spacing w:after="0"/>
        <w:ind w:left="360"/>
        <w:rPr>
          <w:rFonts w:ascii="Arial Narrow" w:hAnsi="Arial Narrow"/>
        </w:rPr>
      </w:pPr>
      <w:r w:rsidRPr="005A7700">
        <w:rPr>
          <w:rFonts w:ascii="Arial Narrow" w:hAnsi="Arial Narrow"/>
        </w:rPr>
        <w:br w:type="textWrapping" w:clear="all"/>
        <w:t xml:space="preserve">  </w:t>
      </w:r>
    </w:p>
    <w:p w:rsidR="00A029F1" w:rsidRPr="00FD76FE" w:rsidRDefault="00A029F1" w:rsidP="00E07B88">
      <w:pPr>
        <w:ind w:left="360"/>
        <w:jc w:val="both"/>
        <w:rPr>
          <w:rFonts w:ascii="Arial Narrow" w:hAnsi="Arial Narrow"/>
          <w:b/>
        </w:rPr>
      </w:pPr>
      <w:r w:rsidRPr="005A7700">
        <w:rPr>
          <w:rFonts w:ascii="Arial Narrow" w:hAnsi="Arial Narrow"/>
        </w:rPr>
        <w:tab/>
      </w:r>
      <w:r w:rsidRPr="005A7700">
        <w:rPr>
          <w:rFonts w:ascii="Arial Narrow" w:hAnsi="Arial Narrow"/>
        </w:rPr>
        <w:tab/>
      </w:r>
      <w:r>
        <w:rPr>
          <w:rFonts w:ascii="Arial Narrow" w:hAnsi="Arial Narrow"/>
        </w:rPr>
        <w:t xml:space="preserve">     </w:t>
      </w:r>
      <w:r w:rsidR="002A170D">
        <w:rPr>
          <w:rFonts w:ascii="Arial Narrow" w:hAnsi="Arial Narrow"/>
          <w:b/>
        </w:rPr>
        <w:t>The Total Basic rate per annum will be considered for L1 calculations.</w:t>
      </w:r>
    </w:p>
    <w:p w:rsidR="00A029F1" w:rsidRPr="00A2064D" w:rsidRDefault="00A029F1" w:rsidP="00A029F1">
      <w:pPr>
        <w:ind w:left="360"/>
        <w:rPr>
          <w:rFonts w:ascii="Arial Narrow" w:hAnsi="Arial Narrow"/>
          <w:b/>
          <w:sz w:val="28"/>
          <w:szCs w:val="28"/>
        </w:rPr>
      </w:pPr>
      <w:r>
        <w:rPr>
          <w:rFonts w:ascii="Arial Narrow" w:hAnsi="Arial Narrow"/>
          <w:sz w:val="28"/>
          <w:szCs w:val="28"/>
        </w:rPr>
        <w:t xml:space="preserve">       </w:t>
      </w:r>
    </w:p>
    <w:p w:rsidR="00BC4950" w:rsidRDefault="00A029F1" w:rsidP="00AE1C56">
      <w:pPr>
        <w:spacing w:after="0" w:line="240" w:lineRule="auto"/>
        <w:ind w:left="360"/>
        <w:jc w:val="right"/>
        <w:rPr>
          <w:rFonts w:ascii="Arial Narrow" w:hAnsi="Arial Narrow"/>
          <w:b/>
        </w:rPr>
      </w:pPr>
      <w:r w:rsidRPr="00C50058">
        <w:rPr>
          <w:rFonts w:ascii="Arial Narrow" w:hAnsi="Arial Narrow"/>
          <w:b/>
        </w:rPr>
        <w:t xml:space="preserve">     </w:t>
      </w:r>
      <w:r w:rsidRPr="00234E1B">
        <w:rPr>
          <w:rFonts w:ascii="Arial Narrow" w:hAnsi="Arial Narrow"/>
          <w:b/>
        </w:rPr>
        <w:t>CONTRACTOR/S SIGNATURE &amp; SEAL</w:t>
      </w:r>
    </w:p>
    <w:p w:rsidR="00234E1B" w:rsidRPr="00234E1B" w:rsidRDefault="00234E1B" w:rsidP="00AE1C56">
      <w:pPr>
        <w:spacing w:after="0" w:line="240" w:lineRule="auto"/>
        <w:ind w:left="360"/>
        <w:jc w:val="right"/>
        <w:rPr>
          <w:rFonts w:ascii="Arial Narrow" w:hAnsi="Arial Narrow"/>
          <w:b/>
        </w:rPr>
      </w:pPr>
      <w:r>
        <w:rPr>
          <w:rFonts w:ascii="Arial Narrow" w:hAnsi="Arial Narrow"/>
          <w:b/>
        </w:rPr>
        <w:t>________________________________</w:t>
      </w:r>
    </w:p>
    <w:tbl>
      <w:tblPr>
        <w:tblW w:w="3060" w:type="dxa"/>
        <w:tblLayout w:type="fixed"/>
        <w:tblLook w:val="04A0"/>
      </w:tblPr>
      <w:tblGrid>
        <w:gridCol w:w="3060"/>
      </w:tblGrid>
      <w:tr w:rsidR="00F376DE" w:rsidRPr="00363F03" w:rsidTr="00F376DE">
        <w:trPr>
          <w:trHeight w:val="300"/>
        </w:trPr>
        <w:tc>
          <w:tcPr>
            <w:tcW w:w="3060" w:type="dxa"/>
            <w:tcBorders>
              <w:top w:val="nil"/>
              <w:left w:val="nil"/>
              <w:bottom w:val="nil"/>
              <w:right w:val="nil"/>
            </w:tcBorders>
            <w:shd w:val="clear" w:color="auto" w:fill="auto"/>
            <w:vAlign w:val="center"/>
            <w:hideMark/>
          </w:tcPr>
          <w:p w:rsidR="00F376DE" w:rsidRPr="00363F03" w:rsidRDefault="00F376DE" w:rsidP="00F376DE">
            <w:pPr>
              <w:spacing w:after="0" w:line="240" w:lineRule="auto"/>
              <w:rPr>
                <w:rFonts w:ascii="Arial Narrow" w:hAnsi="Arial Narrow" w:cs="Arial"/>
                <w:color w:val="000000"/>
                <w:sz w:val="20"/>
                <w:szCs w:val="20"/>
              </w:rPr>
            </w:pPr>
          </w:p>
        </w:tc>
      </w:tr>
      <w:tr w:rsidR="00F376DE" w:rsidRPr="00363F03" w:rsidTr="00F376DE">
        <w:trPr>
          <w:trHeight w:val="300"/>
        </w:trPr>
        <w:tc>
          <w:tcPr>
            <w:tcW w:w="3060" w:type="dxa"/>
            <w:tcBorders>
              <w:top w:val="nil"/>
              <w:left w:val="nil"/>
              <w:bottom w:val="nil"/>
              <w:right w:val="nil"/>
            </w:tcBorders>
            <w:shd w:val="clear" w:color="auto" w:fill="auto"/>
            <w:vAlign w:val="center"/>
            <w:hideMark/>
          </w:tcPr>
          <w:p w:rsidR="00F376DE" w:rsidRPr="00363F03" w:rsidRDefault="00F376DE" w:rsidP="002A170D">
            <w:pPr>
              <w:spacing w:after="0" w:line="240" w:lineRule="auto"/>
              <w:rPr>
                <w:rFonts w:ascii="Arial Narrow" w:hAnsi="Arial Narrow" w:cs="Arial"/>
                <w:color w:val="000000"/>
                <w:sz w:val="20"/>
                <w:szCs w:val="20"/>
              </w:rPr>
            </w:pPr>
          </w:p>
        </w:tc>
      </w:tr>
    </w:tbl>
    <w:p w:rsidR="00F376DE" w:rsidRPr="00F376DE" w:rsidRDefault="00F376DE" w:rsidP="00680D2E">
      <w:pPr>
        <w:tabs>
          <w:tab w:val="left" w:pos="8115"/>
        </w:tabs>
      </w:pPr>
    </w:p>
    <w:sectPr w:rsidR="00F376DE" w:rsidRPr="00F376DE" w:rsidSect="002451DF">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ABD"/>
    <w:multiLevelType w:val="hybridMultilevel"/>
    <w:tmpl w:val="5FA84A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E0F91"/>
    <w:multiLevelType w:val="multilevel"/>
    <w:tmpl w:val="BF64D04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940036F"/>
    <w:multiLevelType w:val="multilevel"/>
    <w:tmpl w:val="27B001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7C5CB0"/>
    <w:multiLevelType w:val="hybridMultilevel"/>
    <w:tmpl w:val="A4E80674"/>
    <w:lvl w:ilvl="0" w:tplc="D65AF18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E926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74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53449B"/>
    <w:multiLevelType w:val="hybridMultilevel"/>
    <w:tmpl w:val="77CC5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4616E5"/>
    <w:multiLevelType w:val="multilevel"/>
    <w:tmpl w:val="17B4B6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765722"/>
    <w:multiLevelType w:val="multilevel"/>
    <w:tmpl w:val="D082BA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254E63"/>
    <w:multiLevelType w:val="multilevel"/>
    <w:tmpl w:val="422E5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577788"/>
    <w:multiLevelType w:val="hybridMultilevel"/>
    <w:tmpl w:val="1CD695DC"/>
    <w:lvl w:ilvl="0" w:tplc="8726655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C3138F4"/>
    <w:multiLevelType w:val="multilevel"/>
    <w:tmpl w:val="484CF5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b w:val="0"/>
      </w:rPr>
    </w:lvl>
    <w:lvl w:ilvl="6">
      <w:start w:val="1"/>
      <w:numFmt w:val="lowerLetter"/>
      <w:lvlText w:val="%7)"/>
      <w:lvlJc w:val="left"/>
      <w:pPr>
        <w:ind w:left="2520" w:hanging="360"/>
      </w:pPr>
      <w:rPr>
        <w:b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12">
    <w:nsid w:val="538B52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AF09D4"/>
    <w:multiLevelType w:val="multilevel"/>
    <w:tmpl w:val="69E294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CA72E77"/>
    <w:multiLevelType w:val="hybridMultilevel"/>
    <w:tmpl w:val="989C03FA"/>
    <w:lvl w:ilvl="0" w:tplc="B95A6BA8">
      <w:start w:val="1"/>
      <w:numFmt w:val="lowerLetter"/>
      <w:lvlText w:val="%1)"/>
      <w:lvlJc w:val="left"/>
      <w:pPr>
        <w:ind w:left="1800" w:hanging="360"/>
      </w:pPr>
      <w:rPr>
        <w:rFonts w:hint="default"/>
        <w:b w:val="0"/>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5D1241C2"/>
    <w:multiLevelType w:val="hybridMultilevel"/>
    <w:tmpl w:val="2804A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B45A49"/>
    <w:multiLevelType w:val="hybridMultilevel"/>
    <w:tmpl w:val="C5E8D7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F869C2"/>
    <w:multiLevelType w:val="multilevel"/>
    <w:tmpl w:val="A78662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CB047A"/>
    <w:multiLevelType w:val="hybridMultilevel"/>
    <w:tmpl w:val="43DCB0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735AF"/>
    <w:multiLevelType w:val="hybridMultilevel"/>
    <w:tmpl w:val="12DE406A"/>
    <w:lvl w:ilvl="0" w:tplc="6D3C211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1FF3098"/>
    <w:multiLevelType w:val="hybridMultilevel"/>
    <w:tmpl w:val="DE480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3D529E"/>
    <w:multiLevelType w:val="multilevel"/>
    <w:tmpl w:val="021E94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A56A62"/>
    <w:multiLevelType w:val="multilevel"/>
    <w:tmpl w:val="FA564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C8618DC"/>
    <w:multiLevelType w:val="hybridMultilevel"/>
    <w:tmpl w:val="79540006"/>
    <w:lvl w:ilvl="0" w:tplc="0409000F">
      <w:start w:val="1"/>
      <w:numFmt w:val="decimal"/>
      <w:lvlText w:val="%1."/>
      <w:lvlJc w:val="left"/>
      <w:pPr>
        <w:tabs>
          <w:tab w:val="num" w:pos="720"/>
        </w:tabs>
        <w:ind w:left="720" w:hanging="360"/>
      </w:pPr>
    </w:lvl>
    <w:lvl w:ilvl="1" w:tplc="4A6EAC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2B5C23"/>
    <w:multiLevelType w:val="multilevel"/>
    <w:tmpl w:val="F6F246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068" w:hanging="360"/>
      </w:pPr>
      <w:rPr>
        <w:rFonts w:hint="default"/>
        <w:b w:val="0"/>
        <w:color w:val="auto"/>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5"/>
  </w:num>
  <w:num w:numId="3">
    <w:abstractNumId w:val="23"/>
  </w:num>
  <w:num w:numId="4">
    <w:abstractNumId w:val="20"/>
  </w:num>
  <w:num w:numId="5">
    <w:abstractNumId w:val="18"/>
  </w:num>
  <w:num w:numId="6">
    <w:abstractNumId w:val="1"/>
  </w:num>
  <w:num w:numId="7">
    <w:abstractNumId w:val="24"/>
  </w:num>
  <w:num w:numId="8">
    <w:abstractNumId w:val="21"/>
  </w:num>
  <w:num w:numId="9">
    <w:abstractNumId w:val="8"/>
  </w:num>
  <w:num w:numId="10">
    <w:abstractNumId w:val="22"/>
  </w:num>
  <w:num w:numId="11">
    <w:abstractNumId w:val="17"/>
  </w:num>
  <w:num w:numId="12">
    <w:abstractNumId w:val="13"/>
  </w:num>
  <w:num w:numId="13">
    <w:abstractNumId w:val="9"/>
  </w:num>
  <w:num w:numId="14">
    <w:abstractNumId w:val="11"/>
  </w:num>
  <w:num w:numId="15">
    <w:abstractNumId w:val="6"/>
  </w:num>
  <w:num w:numId="16">
    <w:abstractNumId w:val="10"/>
  </w:num>
  <w:num w:numId="17">
    <w:abstractNumId w:val="19"/>
  </w:num>
  <w:num w:numId="18">
    <w:abstractNumId w:val="2"/>
  </w:num>
  <w:num w:numId="19">
    <w:abstractNumId w:val="4"/>
  </w:num>
  <w:num w:numId="20">
    <w:abstractNumId w:val="5"/>
  </w:num>
  <w:num w:numId="21">
    <w:abstractNumId w:val="12"/>
  </w:num>
  <w:num w:numId="22">
    <w:abstractNumId w:val="16"/>
  </w:num>
  <w:num w:numId="23">
    <w:abstractNumId w:val="7"/>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29F1"/>
    <w:rsid w:val="00072B87"/>
    <w:rsid w:val="001851C2"/>
    <w:rsid w:val="00186F13"/>
    <w:rsid w:val="001A1CF6"/>
    <w:rsid w:val="001A6DA1"/>
    <w:rsid w:val="00216FEC"/>
    <w:rsid w:val="00234E1B"/>
    <w:rsid w:val="002451DF"/>
    <w:rsid w:val="002A170D"/>
    <w:rsid w:val="003022DB"/>
    <w:rsid w:val="00334207"/>
    <w:rsid w:val="003E7CF4"/>
    <w:rsid w:val="004016B8"/>
    <w:rsid w:val="004706B1"/>
    <w:rsid w:val="004B2D75"/>
    <w:rsid w:val="004E3ABA"/>
    <w:rsid w:val="004E4C6E"/>
    <w:rsid w:val="00534267"/>
    <w:rsid w:val="0055719E"/>
    <w:rsid w:val="00566E54"/>
    <w:rsid w:val="00573EE8"/>
    <w:rsid w:val="005C6E0E"/>
    <w:rsid w:val="00604ABF"/>
    <w:rsid w:val="00680D2E"/>
    <w:rsid w:val="00696B05"/>
    <w:rsid w:val="00764B71"/>
    <w:rsid w:val="007A3290"/>
    <w:rsid w:val="0080372B"/>
    <w:rsid w:val="008471DF"/>
    <w:rsid w:val="0085034A"/>
    <w:rsid w:val="008628B0"/>
    <w:rsid w:val="009740BA"/>
    <w:rsid w:val="00986C80"/>
    <w:rsid w:val="009B152A"/>
    <w:rsid w:val="009B3A38"/>
    <w:rsid w:val="009D2102"/>
    <w:rsid w:val="009E6228"/>
    <w:rsid w:val="00A029F1"/>
    <w:rsid w:val="00A144F9"/>
    <w:rsid w:val="00A16B50"/>
    <w:rsid w:val="00A75C49"/>
    <w:rsid w:val="00AE1C56"/>
    <w:rsid w:val="00AE531F"/>
    <w:rsid w:val="00B31B97"/>
    <w:rsid w:val="00B73A29"/>
    <w:rsid w:val="00B94624"/>
    <w:rsid w:val="00BC4950"/>
    <w:rsid w:val="00C371F0"/>
    <w:rsid w:val="00C4725D"/>
    <w:rsid w:val="00C76DC4"/>
    <w:rsid w:val="00CC6231"/>
    <w:rsid w:val="00D45FE1"/>
    <w:rsid w:val="00DA2DFD"/>
    <w:rsid w:val="00DE52E0"/>
    <w:rsid w:val="00E07B88"/>
    <w:rsid w:val="00E43268"/>
    <w:rsid w:val="00E604FC"/>
    <w:rsid w:val="00E741EB"/>
    <w:rsid w:val="00E825BA"/>
    <w:rsid w:val="00F376DE"/>
    <w:rsid w:val="00F60FC0"/>
    <w:rsid w:val="00F628EF"/>
    <w:rsid w:val="00FC7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SubNumber Paragraph"/>
    <w:basedOn w:val="Normal"/>
    <w:link w:val="ListParagraphChar"/>
    <w:uiPriority w:val="34"/>
    <w:qFormat/>
    <w:rsid w:val="00A029F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List Paragraph-B Char,SubNumber Paragraph Char"/>
    <w:link w:val="ListParagraph"/>
    <w:uiPriority w:val="34"/>
    <w:rsid w:val="00E07B8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10</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biomedical</dc:creator>
  <cp:lastModifiedBy>biomedical</cp:lastModifiedBy>
  <cp:revision>31</cp:revision>
  <cp:lastPrinted>2024-10-09T07:23:00Z</cp:lastPrinted>
  <dcterms:created xsi:type="dcterms:W3CDTF">2021-05-28T10:27:00Z</dcterms:created>
  <dcterms:modified xsi:type="dcterms:W3CDTF">2024-10-09T09:22:00Z</dcterms:modified>
</cp:coreProperties>
</file>